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9F" w:rsidRPr="00C16C7D" w:rsidRDefault="00C01F9F" w:rsidP="006E6C7C">
      <w:pPr>
        <w:pStyle w:val="Heading1"/>
        <w:jc w:val="center"/>
        <w:rPr>
          <w:sz w:val="36"/>
          <w:szCs w:val="36"/>
        </w:rPr>
      </w:pPr>
      <w:bookmarkStart w:id="0" w:name="_Toc268717835"/>
      <w:bookmarkStart w:id="1" w:name="_GoBack"/>
      <w:bookmarkEnd w:id="1"/>
      <w:r w:rsidRPr="00C16C7D">
        <w:rPr>
          <w:sz w:val="36"/>
          <w:szCs w:val="36"/>
        </w:rPr>
        <w:t>Submission to the</w:t>
      </w:r>
    </w:p>
    <w:p w:rsidR="00C01F9F" w:rsidRPr="00C16C7D" w:rsidRDefault="00C01F9F" w:rsidP="006E6C7C">
      <w:pPr>
        <w:pStyle w:val="Heading1"/>
        <w:ind w:left="-426"/>
        <w:jc w:val="center"/>
        <w:rPr>
          <w:sz w:val="44"/>
          <w:szCs w:val="44"/>
        </w:rPr>
      </w:pPr>
      <w:r w:rsidRPr="00C16C7D">
        <w:rPr>
          <w:sz w:val="44"/>
          <w:szCs w:val="44"/>
        </w:rPr>
        <w:t>Committee on the Rights of Persons with Disabilities</w:t>
      </w:r>
    </w:p>
    <w:p w:rsidR="00C01F9F" w:rsidRPr="00C16C7D" w:rsidRDefault="00C01F9F" w:rsidP="006E6C7C">
      <w:pPr>
        <w:pStyle w:val="Heading1"/>
        <w:ind w:left="-426"/>
        <w:jc w:val="center"/>
        <w:rPr>
          <w:sz w:val="44"/>
          <w:szCs w:val="44"/>
        </w:rPr>
      </w:pPr>
      <w:r w:rsidRPr="00C16C7D">
        <w:rPr>
          <w:sz w:val="44"/>
          <w:szCs w:val="44"/>
        </w:rPr>
        <w:t>Day of General Discussion on the right to education for persons with disabilities</w:t>
      </w:r>
    </w:p>
    <w:p w:rsidR="00C01F9F" w:rsidRPr="00117C5C" w:rsidRDefault="00C01F9F" w:rsidP="006E6C7C">
      <w:pPr>
        <w:pStyle w:val="Heading1"/>
        <w:jc w:val="center"/>
        <w:rPr>
          <w:sz w:val="32"/>
          <w:szCs w:val="32"/>
        </w:rPr>
      </w:pPr>
      <w:r w:rsidRPr="00117C5C">
        <w:rPr>
          <w:sz w:val="32"/>
          <w:szCs w:val="32"/>
        </w:rPr>
        <w:t>15</w:t>
      </w:r>
      <w:r w:rsidRPr="00117C5C">
        <w:rPr>
          <w:sz w:val="32"/>
          <w:szCs w:val="32"/>
          <w:vertAlign w:val="superscript"/>
        </w:rPr>
        <w:t>th</w:t>
      </w:r>
      <w:r w:rsidRPr="00117C5C">
        <w:rPr>
          <w:sz w:val="32"/>
          <w:szCs w:val="32"/>
        </w:rPr>
        <w:t xml:space="preserve"> April 2015</w:t>
      </w:r>
    </w:p>
    <w:p w:rsidR="00C01F9F" w:rsidRPr="00C16C7D" w:rsidRDefault="00D86E1C" w:rsidP="006E6C7C">
      <w:pPr>
        <w:pStyle w:val="Heading1"/>
        <w:ind w:left="-426"/>
        <w:jc w:val="center"/>
        <w:rPr>
          <w:sz w:val="44"/>
          <w:szCs w:val="44"/>
        </w:rPr>
      </w:pPr>
      <w:r>
        <w:rPr>
          <w:noProof/>
          <w:sz w:val="44"/>
          <w:szCs w:val="44"/>
          <w:lang w:val="en-NZ" w:eastAsia="en-NZ"/>
        </w:rPr>
        <w:drawing>
          <wp:anchor distT="0" distB="0" distL="114300" distR="114300" simplePos="0" relativeHeight="251660288" behindDoc="0" locked="0" layoutInCell="1" allowOverlap="1">
            <wp:simplePos x="0" y="0"/>
            <wp:positionH relativeFrom="column">
              <wp:posOffset>3474770</wp:posOffset>
            </wp:positionH>
            <wp:positionV relativeFrom="paragraph">
              <wp:posOffset>4356199</wp:posOffset>
            </wp:positionV>
            <wp:extent cx="982097" cy="380011"/>
            <wp:effectExtent l="19050" t="0" r="8503" b="0"/>
            <wp:wrapNone/>
            <wp:docPr id="2" name="Picture 1" descr="C:\Users\galbraiths\Desktop\BOPDSA In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braiths\Desktop\BOPDSA Inc. Logo.png"/>
                    <pic:cNvPicPr>
                      <a:picLocks noChangeAspect="1" noChangeArrowheads="1"/>
                    </pic:cNvPicPr>
                  </pic:nvPicPr>
                  <pic:blipFill>
                    <a:blip r:embed="rId9" cstate="print"/>
                    <a:srcRect/>
                    <a:stretch>
                      <a:fillRect/>
                    </a:stretch>
                  </pic:blipFill>
                  <pic:spPr bwMode="auto">
                    <a:xfrm>
                      <a:off x="0" y="0"/>
                      <a:ext cx="982097" cy="380011"/>
                    </a:xfrm>
                    <a:prstGeom prst="rect">
                      <a:avLst/>
                    </a:prstGeom>
                    <a:noFill/>
                    <a:ln w="9525">
                      <a:noFill/>
                      <a:miter lim="800000"/>
                      <a:headEnd/>
                      <a:tailEnd/>
                    </a:ln>
                  </pic:spPr>
                </pic:pic>
              </a:graphicData>
            </a:graphic>
          </wp:anchor>
        </w:drawing>
      </w:r>
      <w:r w:rsidR="009C159B" w:rsidRPr="00C16C7D">
        <w:rPr>
          <w:noProof/>
          <w:sz w:val="44"/>
          <w:szCs w:val="44"/>
          <w:lang w:val="en-NZ" w:eastAsia="en-NZ"/>
        </w:rPr>
        <w:drawing>
          <wp:anchor distT="0" distB="0" distL="114300" distR="114300" simplePos="0" relativeHeight="251659264" behindDoc="0" locked="0" layoutInCell="1" allowOverlap="1">
            <wp:simplePos x="0" y="0"/>
            <wp:positionH relativeFrom="margin">
              <wp:align>left</wp:align>
            </wp:positionH>
            <wp:positionV relativeFrom="page">
              <wp:posOffset>5654040</wp:posOffset>
            </wp:positionV>
            <wp:extent cx="5764530" cy="4419600"/>
            <wp:effectExtent l="0" t="0" r="7620" b="0"/>
            <wp:wrapTight wrapText="bothSides">
              <wp:wrapPolygon edited="0">
                <wp:start x="0" y="0"/>
                <wp:lineTo x="0" y="21507"/>
                <wp:lineTo x="21557" y="21507"/>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2659" t="9455" r="37514" b="9001"/>
                    <a:stretch/>
                  </pic:blipFill>
                  <pic:spPr bwMode="auto">
                    <a:xfrm>
                      <a:off x="0" y="0"/>
                      <a:ext cx="5764530" cy="4419600"/>
                    </a:xfrm>
                    <a:prstGeom prst="rect">
                      <a:avLst/>
                    </a:prstGeom>
                    <a:ln>
                      <a:noFill/>
                    </a:ln>
                    <a:extLst>
                      <a:ext uri="{53640926-AAD7-44D8-BBD7-CCE9431645EC}">
                        <a14:shadowObscured xmlns:a14="http://schemas.microsoft.com/office/drawing/2010/main"/>
                      </a:ext>
                    </a:extLst>
                  </pic:spPr>
                </pic:pic>
              </a:graphicData>
            </a:graphic>
          </wp:anchor>
        </w:drawing>
      </w:r>
      <w:r w:rsidR="00C01F9F" w:rsidRPr="00C16C7D">
        <w:rPr>
          <w:sz w:val="44"/>
          <w:szCs w:val="44"/>
        </w:rPr>
        <w:t>From a network of Disabled Persons Organisations and disability NGO organisations</w:t>
      </w:r>
    </w:p>
    <w:p w:rsidR="000232F9" w:rsidRDefault="000232F9" w:rsidP="00E163D6">
      <w:pPr>
        <w:pStyle w:val="Heading1"/>
        <w:ind w:left="-426"/>
      </w:pPr>
      <w:r>
        <w:lastRenderedPageBreak/>
        <w:t xml:space="preserve">Summary </w:t>
      </w:r>
    </w:p>
    <w:p w:rsidR="004B1776" w:rsidRDefault="000232F9"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New Zealand has made</w:t>
      </w:r>
      <w:r w:rsidR="00C16C7D">
        <w:rPr>
          <w:rFonts w:ascii="ArialMT" w:hAnsi="ArialMT" w:cs="ArialMT"/>
          <w:sz w:val="24"/>
          <w:szCs w:val="24"/>
        </w:rPr>
        <w:t xml:space="preserve"> efforts</w:t>
      </w:r>
      <w:r>
        <w:rPr>
          <w:rFonts w:ascii="ArialMT" w:hAnsi="ArialMT" w:cs="ArialMT"/>
          <w:sz w:val="24"/>
          <w:szCs w:val="24"/>
        </w:rPr>
        <w:t xml:space="preserve"> to improve aspects </w:t>
      </w:r>
      <w:r w:rsidR="004B1776">
        <w:rPr>
          <w:rFonts w:ascii="ArialMT" w:hAnsi="ArialMT" w:cs="ArialMT"/>
          <w:sz w:val="24"/>
          <w:szCs w:val="24"/>
        </w:rPr>
        <w:t>of its education system</w:t>
      </w:r>
      <w:r w:rsidR="000F2F7E">
        <w:rPr>
          <w:rFonts w:ascii="ArialMT" w:hAnsi="ArialMT" w:cs="ArialMT"/>
          <w:sz w:val="24"/>
          <w:szCs w:val="24"/>
        </w:rPr>
        <w:t xml:space="preserve"> to better meet the needs of disabled students </w:t>
      </w:r>
      <w:r w:rsidR="00FF31FD">
        <w:rPr>
          <w:rFonts w:ascii="ArialMT" w:hAnsi="ArialMT" w:cs="ArialMT"/>
          <w:sz w:val="24"/>
          <w:szCs w:val="24"/>
        </w:rPr>
        <w:t xml:space="preserve">since </w:t>
      </w:r>
      <w:r w:rsidR="00F70084">
        <w:rPr>
          <w:rFonts w:ascii="ArialMT" w:hAnsi="ArialMT" w:cs="ArialMT"/>
          <w:sz w:val="24"/>
          <w:szCs w:val="24"/>
        </w:rPr>
        <w:t xml:space="preserve">the </w:t>
      </w:r>
      <w:r w:rsidR="00FF31FD">
        <w:rPr>
          <w:rFonts w:ascii="ArialMT" w:hAnsi="ArialMT" w:cs="ArialMT"/>
          <w:sz w:val="24"/>
          <w:szCs w:val="24"/>
        </w:rPr>
        <w:t xml:space="preserve">ratification of </w:t>
      </w:r>
      <w:proofErr w:type="gramStart"/>
      <w:r w:rsidR="00F70084">
        <w:rPr>
          <w:rFonts w:ascii="ArialMT" w:hAnsi="ArialMT" w:cs="ArialMT"/>
          <w:sz w:val="24"/>
          <w:szCs w:val="24"/>
        </w:rPr>
        <w:t>the  Convention</w:t>
      </w:r>
      <w:proofErr w:type="gramEnd"/>
      <w:r w:rsidR="00F70084">
        <w:rPr>
          <w:rFonts w:ascii="ArialMT" w:hAnsi="ArialMT" w:cs="ArialMT"/>
          <w:sz w:val="24"/>
          <w:szCs w:val="24"/>
        </w:rPr>
        <w:t xml:space="preserve"> on the Rights of Persons with Disabilities (</w:t>
      </w:r>
      <w:r w:rsidR="00FF31FD">
        <w:rPr>
          <w:rFonts w:ascii="ArialMT" w:hAnsi="ArialMT" w:cs="ArialMT"/>
          <w:sz w:val="24"/>
          <w:szCs w:val="24"/>
        </w:rPr>
        <w:t>CPRD</w:t>
      </w:r>
      <w:r w:rsidR="00F70084">
        <w:rPr>
          <w:rFonts w:ascii="ArialMT" w:hAnsi="ArialMT" w:cs="ArialMT"/>
          <w:sz w:val="24"/>
          <w:szCs w:val="24"/>
        </w:rPr>
        <w:t>)</w:t>
      </w:r>
      <w:r>
        <w:rPr>
          <w:rFonts w:ascii="ArialMT" w:hAnsi="ArialMT" w:cs="ArialMT"/>
          <w:sz w:val="24"/>
          <w:szCs w:val="24"/>
        </w:rPr>
        <w:t xml:space="preserve"> however evidence shows that tweaking at the edges does not work.</w:t>
      </w:r>
      <w:r w:rsidR="004B1776">
        <w:rPr>
          <w:rFonts w:ascii="ArialMT" w:hAnsi="ArialMT" w:cs="ArialMT"/>
          <w:sz w:val="24"/>
          <w:szCs w:val="24"/>
        </w:rPr>
        <w:t xml:space="preserve"> </w:t>
      </w:r>
      <w:r>
        <w:rPr>
          <w:rFonts w:ascii="ArialMT" w:hAnsi="ArialMT" w:cs="ArialMT"/>
          <w:sz w:val="24"/>
          <w:szCs w:val="24"/>
        </w:rPr>
        <w:t xml:space="preserve"> New Zealand needs a whole-scale shift to an inclusive education framework</w:t>
      </w:r>
      <w:r w:rsidR="004B1776">
        <w:rPr>
          <w:rFonts w:ascii="ArialMT" w:hAnsi="ArialMT" w:cs="ArialMT"/>
          <w:sz w:val="24"/>
          <w:szCs w:val="24"/>
        </w:rPr>
        <w:t xml:space="preserve"> underpinned by a robust legislative and policy framework</w:t>
      </w:r>
      <w:r>
        <w:rPr>
          <w:rFonts w:ascii="ArialMT" w:hAnsi="ArialMT" w:cs="ArialMT"/>
          <w:sz w:val="24"/>
          <w:szCs w:val="24"/>
        </w:rPr>
        <w:t xml:space="preserve">. </w:t>
      </w:r>
    </w:p>
    <w:p w:rsidR="000232F9" w:rsidRDefault="000232F9"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Guidance from the C</w:t>
      </w:r>
      <w:r w:rsidR="004B1776">
        <w:rPr>
          <w:rFonts w:ascii="ArialMT" w:hAnsi="ArialMT" w:cs="ArialMT"/>
          <w:sz w:val="24"/>
          <w:szCs w:val="24"/>
        </w:rPr>
        <w:t xml:space="preserve">RPD Committee on this framework </w:t>
      </w:r>
      <w:r>
        <w:rPr>
          <w:rFonts w:ascii="ArialMT" w:hAnsi="ArialMT" w:cs="ArialMT"/>
          <w:sz w:val="24"/>
          <w:szCs w:val="24"/>
        </w:rPr>
        <w:t xml:space="preserve">and on what it looks like in practice will go some way in helping New Zealand make this necessary shift. </w:t>
      </w:r>
    </w:p>
    <w:p w:rsidR="006E6C7C" w:rsidRPr="006E6C7C" w:rsidRDefault="004B177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Guidance in the areas of definitions of inclusive education, reasonable accommodation and </w:t>
      </w:r>
      <w:r w:rsidR="000F2F7E">
        <w:rPr>
          <w:rFonts w:ascii="ArialMT" w:hAnsi="ArialMT" w:cs="ArialMT"/>
          <w:sz w:val="24"/>
          <w:szCs w:val="24"/>
        </w:rPr>
        <w:t xml:space="preserve">requirements for an </w:t>
      </w:r>
      <w:r>
        <w:rPr>
          <w:rFonts w:ascii="ArialMT" w:hAnsi="ArialMT" w:cs="ArialMT"/>
          <w:sz w:val="24"/>
          <w:szCs w:val="24"/>
        </w:rPr>
        <w:t>enforceable right to education would be particularly useful</w:t>
      </w:r>
      <w:r w:rsidR="000F2F7E">
        <w:rPr>
          <w:rFonts w:ascii="ArialMT" w:hAnsi="ArialMT" w:cs="ArialMT"/>
          <w:sz w:val="24"/>
          <w:szCs w:val="24"/>
        </w:rPr>
        <w:t>.</w:t>
      </w:r>
    </w:p>
    <w:p w:rsidR="00C01F9F" w:rsidRPr="00214791" w:rsidRDefault="000232F9" w:rsidP="00117C5C">
      <w:pPr>
        <w:pStyle w:val="Heading1"/>
        <w:spacing w:before="720"/>
        <w:ind w:left="-425"/>
      </w:pPr>
      <w:r>
        <w:t>The right to education on an equal basis with others</w:t>
      </w:r>
      <w:bookmarkEnd w:id="0"/>
    </w:p>
    <w:p w:rsidR="000232F9" w:rsidRDefault="000232F9"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Article 24 of </w:t>
      </w:r>
      <w:r w:rsidR="00F70084">
        <w:rPr>
          <w:rFonts w:ascii="ArialMT" w:hAnsi="ArialMT" w:cs="ArialMT"/>
          <w:sz w:val="24"/>
          <w:szCs w:val="24"/>
        </w:rPr>
        <w:t>CRPD</w:t>
      </w:r>
      <w:r>
        <w:rPr>
          <w:rFonts w:ascii="ArialMT" w:hAnsi="ArialMT" w:cs="ArialMT"/>
          <w:sz w:val="24"/>
          <w:szCs w:val="24"/>
        </w:rPr>
        <w:t xml:space="preserve"> </w:t>
      </w:r>
      <w:r w:rsidR="004B1776">
        <w:rPr>
          <w:rFonts w:ascii="ArialMT" w:hAnsi="ArialMT" w:cs="ArialMT"/>
          <w:sz w:val="24"/>
          <w:szCs w:val="24"/>
        </w:rPr>
        <w:t>affirms</w:t>
      </w:r>
      <w:r>
        <w:rPr>
          <w:rFonts w:ascii="ArialMT" w:hAnsi="ArialMT" w:cs="ArialMT"/>
          <w:sz w:val="24"/>
          <w:szCs w:val="24"/>
        </w:rPr>
        <w:t xml:space="preserve"> that disabled children have the right to education on an equal basis with others. </w:t>
      </w:r>
    </w:p>
    <w:p w:rsidR="004F28D1" w:rsidRDefault="00415BF2"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In New Zealand the Education Act, the Hum</w:t>
      </w:r>
      <w:r w:rsidR="006E6C7C">
        <w:rPr>
          <w:rFonts w:ascii="ArialMT" w:hAnsi="ArialMT" w:cs="ArialMT"/>
          <w:sz w:val="24"/>
          <w:szCs w:val="24"/>
        </w:rPr>
        <w:t>an Rights Act, the New Zealand D</w:t>
      </w:r>
      <w:r>
        <w:rPr>
          <w:rFonts w:ascii="ArialMT" w:hAnsi="ArialMT" w:cs="ArialMT"/>
          <w:sz w:val="24"/>
          <w:szCs w:val="24"/>
        </w:rPr>
        <w:t>isability Str</w:t>
      </w:r>
      <w:r w:rsidR="00F70084">
        <w:rPr>
          <w:rFonts w:ascii="ArialMT" w:hAnsi="ArialMT" w:cs="ArialMT"/>
          <w:sz w:val="24"/>
          <w:szCs w:val="24"/>
        </w:rPr>
        <w:t xml:space="preserve">ategy and </w:t>
      </w:r>
      <w:r>
        <w:rPr>
          <w:rFonts w:ascii="ArialMT" w:hAnsi="ArialMT" w:cs="ArialMT"/>
          <w:sz w:val="24"/>
          <w:szCs w:val="24"/>
        </w:rPr>
        <w:t xml:space="preserve">CRPD all provide for disabled children’s right to attend their local, regular school. Despite this many disabled children are unable to realise this right and many schools struggle to </w:t>
      </w:r>
      <w:r w:rsidR="006E6C7C">
        <w:rPr>
          <w:rFonts w:ascii="ArialMT" w:hAnsi="ArialMT" w:cs="ArialMT"/>
          <w:sz w:val="24"/>
          <w:szCs w:val="24"/>
        </w:rPr>
        <w:t>respond to</w:t>
      </w:r>
      <w:r>
        <w:rPr>
          <w:rFonts w:ascii="ArialMT" w:hAnsi="ArialMT" w:cs="ArialMT"/>
          <w:sz w:val="24"/>
          <w:szCs w:val="24"/>
        </w:rPr>
        <w:t xml:space="preserve"> their rights, needs and interests.</w:t>
      </w:r>
    </w:p>
    <w:p w:rsidR="004F28D1" w:rsidRDefault="00415BF2"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4F28D1">
        <w:rPr>
          <w:rFonts w:ascii="ArialMT" w:hAnsi="ArialMT" w:cs="ArialMT"/>
          <w:sz w:val="24"/>
          <w:szCs w:val="24"/>
        </w:rPr>
        <w:t>IHC, a leading disability</w:t>
      </w:r>
      <w:r w:rsidR="004F28D1" w:rsidRPr="004F28D1">
        <w:rPr>
          <w:rFonts w:ascii="ArialMT" w:hAnsi="ArialMT" w:cs="ArialMT"/>
          <w:sz w:val="24"/>
          <w:szCs w:val="24"/>
        </w:rPr>
        <w:t xml:space="preserve"> advocacy and service organisation which represents the voice of disabled people and families</w:t>
      </w:r>
      <w:r w:rsidR="005A7F38">
        <w:rPr>
          <w:rFonts w:ascii="ArialMT" w:hAnsi="ArialMT" w:cs="ArialMT"/>
          <w:sz w:val="24"/>
          <w:szCs w:val="24"/>
        </w:rPr>
        <w:t>,</w:t>
      </w:r>
      <w:r w:rsidR="007A183E">
        <w:rPr>
          <w:rFonts w:ascii="ArialMT" w:hAnsi="ArialMT" w:cs="ArialMT"/>
          <w:sz w:val="24"/>
          <w:szCs w:val="24"/>
        </w:rPr>
        <w:t xml:space="preserve"> </w:t>
      </w:r>
      <w:r w:rsidR="004F28D1" w:rsidRPr="00B61AC6">
        <w:rPr>
          <w:rFonts w:ascii="ArialMT" w:hAnsi="ArialMT" w:cs="ArialMT"/>
          <w:sz w:val="24"/>
          <w:szCs w:val="24"/>
        </w:rPr>
        <w:t xml:space="preserve">is progressing legal proceedings against the Ministry of Education </w:t>
      </w:r>
      <w:r w:rsidR="004F28D1">
        <w:rPr>
          <w:rFonts w:ascii="ArialMT" w:hAnsi="ArialMT" w:cs="ArialMT"/>
          <w:sz w:val="24"/>
          <w:szCs w:val="24"/>
        </w:rPr>
        <w:t xml:space="preserve">in New Zealand </w:t>
      </w:r>
      <w:r w:rsidR="004F28D1" w:rsidRPr="00B61AC6">
        <w:rPr>
          <w:rFonts w:ascii="ArialMT" w:hAnsi="ArialMT" w:cs="ArialMT"/>
          <w:sz w:val="24"/>
          <w:szCs w:val="24"/>
        </w:rPr>
        <w:t xml:space="preserve">claiming special education policies are discriminatory. This </w:t>
      </w:r>
      <w:r w:rsidR="004F28D1">
        <w:rPr>
          <w:rFonts w:ascii="ArialMT" w:hAnsi="ArialMT" w:cs="ArialMT"/>
          <w:sz w:val="24"/>
          <w:szCs w:val="24"/>
        </w:rPr>
        <w:t xml:space="preserve">complaint, initiated in 2008, </w:t>
      </w:r>
      <w:r w:rsidR="004F28D1" w:rsidRPr="00B61AC6">
        <w:rPr>
          <w:rFonts w:ascii="ArialMT" w:hAnsi="ArialMT" w:cs="ArialMT"/>
          <w:sz w:val="24"/>
          <w:szCs w:val="24"/>
        </w:rPr>
        <w:t xml:space="preserve">is in response to </w:t>
      </w:r>
      <w:r w:rsidR="004F28D1">
        <w:rPr>
          <w:rFonts w:ascii="ArialMT" w:hAnsi="ArialMT" w:cs="ArialMT"/>
          <w:sz w:val="24"/>
          <w:szCs w:val="24"/>
        </w:rPr>
        <w:t xml:space="preserve">the </w:t>
      </w:r>
      <w:r w:rsidR="004F28D1" w:rsidRPr="00B61AC6">
        <w:rPr>
          <w:rFonts w:ascii="ArialMT" w:hAnsi="ArialMT" w:cs="ArialMT"/>
          <w:sz w:val="24"/>
          <w:szCs w:val="24"/>
        </w:rPr>
        <w:t xml:space="preserve">high number of complaints and concerns about disabled children being treated differently to non-disabled children in </w:t>
      </w:r>
      <w:r w:rsidR="004F28D1">
        <w:rPr>
          <w:rFonts w:ascii="ArialMT" w:hAnsi="ArialMT" w:cs="ArialMT"/>
          <w:sz w:val="24"/>
          <w:szCs w:val="24"/>
        </w:rPr>
        <w:t>enrolling at their local school</w:t>
      </w:r>
      <w:r w:rsidR="004F28D1" w:rsidRPr="00B61AC6">
        <w:rPr>
          <w:rFonts w:ascii="ArialMT" w:hAnsi="ArialMT" w:cs="ArialMT"/>
          <w:sz w:val="24"/>
          <w:szCs w:val="24"/>
        </w:rPr>
        <w:t>,</w:t>
      </w:r>
      <w:r w:rsidR="004F28D1">
        <w:rPr>
          <w:rFonts w:ascii="ArialMT" w:hAnsi="ArialMT" w:cs="ArialMT"/>
          <w:sz w:val="24"/>
          <w:szCs w:val="24"/>
        </w:rPr>
        <w:t xml:space="preserve"> participating in school life and</w:t>
      </w:r>
      <w:r w:rsidR="004F28D1" w:rsidRPr="00B61AC6">
        <w:rPr>
          <w:rFonts w:ascii="ArialMT" w:hAnsi="ArialMT" w:cs="ArialMT"/>
          <w:sz w:val="24"/>
          <w:szCs w:val="24"/>
        </w:rPr>
        <w:t xml:space="preserve"> access</w:t>
      </w:r>
      <w:r w:rsidR="004F28D1">
        <w:rPr>
          <w:rFonts w:ascii="ArialMT" w:hAnsi="ArialMT" w:cs="ArialMT"/>
          <w:sz w:val="24"/>
          <w:szCs w:val="24"/>
        </w:rPr>
        <w:t>ing</w:t>
      </w:r>
      <w:r w:rsidR="004F28D1" w:rsidRPr="00B61AC6">
        <w:rPr>
          <w:rFonts w:ascii="ArialMT" w:hAnsi="ArialMT" w:cs="ArialMT"/>
          <w:sz w:val="24"/>
          <w:szCs w:val="24"/>
        </w:rPr>
        <w:t xml:space="preserve"> the curriculum.</w:t>
      </w:r>
      <w:r w:rsidR="007A183E">
        <w:rPr>
          <w:rFonts w:ascii="ArialMT" w:hAnsi="ArialMT" w:cs="ArialMT"/>
          <w:sz w:val="24"/>
          <w:szCs w:val="24"/>
        </w:rPr>
        <w:t xml:space="preserve"> Information collected from families and education</w:t>
      </w:r>
      <w:r w:rsidR="00001168">
        <w:rPr>
          <w:rFonts w:ascii="ArialMT" w:hAnsi="ArialMT" w:cs="ArialMT"/>
          <w:sz w:val="24"/>
          <w:szCs w:val="24"/>
        </w:rPr>
        <w:t xml:space="preserve"> professionals as evidence for the complaint highlight strong levels of </w:t>
      </w:r>
      <w:r w:rsidR="005247CD">
        <w:rPr>
          <w:rFonts w:ascii="ArialMT" w:hAnsi="ArialMT" w:cs="ArialMT"/>
          <w:sz w:val="24"/>
          <w:szCs w:val="24"/>
        </w:rPr>
        <w:t>agreement about the barriers to</w:t>
      </w:r>
      <w:r w:rsidR="00001168">
        <w:rPr>
          <w:rFonts w:ascii="ArialMT" w:hAnsi="ArialMT" w:cs="ArialMT"/>
          <w:sz w:val="24"/>
          <w:szCs w:val="24"/>
        </w:rPr>
        <w:t xml:space="preserve"> discrimination free</w:t>
      </w:r>
      <w:r w:rsidR="00F70084">
        <w:rPr>
          <w:rFonts w:ascii="ArialMT" w:hAnsi="ArialMT" w:cs="ArialMT"/>
          <w:sz w:val="24"/>
          <w:szCs w:val="24"/>
        </w:rPr>
        <w:t xml:space="preserve"> and</w:t>
      </w:r>
      <w:r w:rsidR="00001168">
        <w:rPr>
          <w:rFonts w:ascii="ArialMT" w:hAnsi="ArialMT" w:cs="ArialMT"/>
          <w:sz w:val="24"/>
          <w:szCs w:val="24"/>
        </w:rPr>
        <w:t xml:space="preserve"> inclusive education</w:t>
      </w:r>
      <w:r w:rsidR="007A183E">
        <w:rPr>
          <w:rFonts w:ascii="ArialMT" w:hAnsi="ArialMT" w:cs="ArialMT"/>
          <w:sz w:val="24"/>
          <w:szCs w:val="24"/>
        </w:rPr>
        <w:t xml:space="preserve"> </w:t>
      </w:r>
      <w:r w:rsidR="00001168">
        <w:rPr>
          <w:rFonts w:ascii="ArialMT" w:hAnsi="ArialMT" w:cs="ArialMT"/>
          <w:sz w:val="24"/>
          <w:szCs w:val="24"/>
        </w:rPr>
        <w:t xml:space="preserve"> </w:t>
      </w:r>
      <w:r w:rsidR="005247CD">
        <w:rPr>
          <w:rFonts w:ascii="ArialMT" w:hAnsi="ArialMT" w:cs="ArialMT"/>
          <w:sz w:val="24"/>
          <w:szCs w:val="24"/>
        </w:rPr>
        <w:t xml:space="preserve">being a </w:t>
      </w:r>
      <w:r w:rsidR="00001168">
        <w:rPr>
          <w:rFonts w:ascii="ArialMT" w:hAnsi="ArialMT" w:cs="ArialMT"/>
          <w:sz w:val="24"/>
          <w:szCs w:val="24"/>
        </w:rPr>
        <w:t xml:space="preserve"> lack of teacher capacity, </w:t>
      </w:r>
      <w:r w:rsidR="005247CD">
        <w:rPr>
          <w:rFonts w:ascii="ArialMT" w:hAnsi="ArialMT" w:cs="ArialMT"/>
          <w:sz w:val="24"/>
          <w:szCs w:val="24"/>
        </w:rPr>
        <w:t>access to s</w:t>
      </w:r>
      <w:r w:rsidR="006E6C7C">
        <w:rPr>
          <w:rFonts w:ascii="ArialMT" w:hAnsi="ArialMT" w:cs="ArialMT"/>
          <w:sz w:val="24"/>
          <w:szCs w:val="24"/>
        </w:rPr>
        <w:t>pecialist and financial support</w:t>
      </w:r>
      <w:r w:rsidR="005247CD">
        <w:rPr>
          <w:rFonts w:ascii="ArialMT" w:hAnsi="ArialMT" w:cs="ArialMT"/>
          <w:sz w:val="24"/>
          <w:szCs w:val="24"/>
        </w:rPr>
        <w:t xml:space="preserve">, difficulties with policy implementation and </w:t>
      </w:r>
      <w:r w:rsidR="006E6C7C">
        <w:rPr>
          <w:rFonts w:ascii="ArialMT" w:hAnsi="ArialMT" w:cs="ArialMT"/>
          <w:sz w:val="24"/>
          <w:szCs w:val="24"/>
        </w:rPr>
        <w:t>legal provisions</w:t>
      </w:r>
      <w:r w:rsidR="005247CD">
        <w:rPr>
          <w:rFonts w:ascii="ArialMT" w:hAnsi="ArialMT" w:cs="ArialMT"/>
          <w:sz w:val="24"/>
          <w:szCs w:val="24"/>
        </w:rPr>
        <w:t xml:space="preserve"> and a lack of accountability and transparency about disabled children’s rights to education </w:t>
      </w:r>
      <w:r w:rsidR="004F28D1" w:rsidRPr="00E163D6">
        <w:rPr>
          <w:rStyle w:val="EndnoteReference"/>
        </w:rPr>
        <w:endnoteReference w:id="1"/>
      </w:r>
      <w:r w:rsidR="004F28D1">
        <w:rPr>
          <w:rFonts w:ascii="ArialMT" w:hAnsi="ArialMT" w:cs="ArialMT"/>
          <w:sz w:val="24"/>
          <w:szCs w:val="24"/>
        </w:rPr>
        <w:t xml:space="preserve"> </w:t>
      </w:r>
    </w:p>
    <w:p w:rsidR="00415BF2" w:rsidRPr="005A7F38" w:rsidRDefault="005A7F38"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CRPD recognises that the right to education is a cross cutting provision to the realisation of other rights within CPRD.  Therefore failures in implementation of </w:t>
      </w:r>
      <w:r>
        <w:rPr>
          <w:rFonts w:ascii="ArialMT" w:hAnsi="ArialMT" w:cs="ArialMT"/>
          <w:sz w:val="24"/>
          <w:szCs w:val="24"/>
        </w:rPr>
        <w:lastRenderedPageBreak/>
        <w:t xml:space="preserve">Article 24 in New Zealand are inextricably linked to </w:t>
      </w:r>
      <w:r w:rsidR="006E6C7C">
        <w:rPr>
          <w:rFonts w:ascii="ArialMT" w:hAnsi="ArialMT" w:cs="ArialMT"/>
          <w:sz w:val="24"/>
          <w:szCs w:val="24"/>
        </w:rPr>
        <w:t xml:space="preserve">reduced </w:t>
      </w:r>
      <w:r>
        <w:rPr>
          <w:rFonts w:ascii="ArialMT" w:hAnsi="ArialMT" w:cs="ArialMT"/>
          <w:sz w:val="24"/>
          <w:szCs w:val="24"/>
        </w:rPr>
        <w:t>experiences of citizenship and other quality of life indicators.</w:t>
      </w:r>
    </w:p>
    <w:p w:rsidR="00E163D6" w:rsidRDefault="00E163D6" w:rsidP="00117C5C">
      <w:pPr>
        <w:pStyle w:val="Heading1"/>
        <w:spacing w:before="720"/>
        <w:ind w:left="-425"/>
        <w:rPr>
          <w:rFonts w:ascii="ArialMT" w:hAnsi="ArialMT" w:cs="ArialMT"/>
        </w:rPr>
      </w:pPr>
      <w:r>
        <w:t>Guidance on defining inclusive education</w:t>
      </w:r>
    </w:p>
    <w:p w:rsidR="00E163D6" w:rsidRPr="00D23D7E" w:rsidRDefault="00E163D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D23D7E">
        <w:rPr>
          <w:rFonts w:ascii="ArialMT" w:hAnsi="ArialMT" w:cs="ArialMT"/>
          <w:sz w:val="24"/>
          <w:szCs w:val="24"/>
        </w:rPr>
        <w:t xml:space="preserve">The Independent Monitoring Mechanism for the CRPD noted in 2012 and 2014 </w:t>
      </w:r>
      <w:r>
        <w:rPr>
          <w:rFonts w:ascii="ArialMT" w:hAnsi="ArialMT" w:cs="ArialMT"/>
          <w:sz w:val="24"/>
          <w:szCs w:val="24"/>
        </w:rPr>
        <w:t xml:space="preserve">the </w:t>
      </w:r>
      <w:r w:rsidRPr="00D23D7E">
        <w:rPr>
          <w:rFonts w:ascii="ArialMT" w:hAnsi="ArialMT" w:cs="ArialMT"/>
          <w:sz w:val="24"/>
          <w:szCs w:val="24"/>
        </w:rPr>
        <w:t>lack of a plan to take New Zealand from a mixed segregated-inclusive education system to a fully inclusive education system.</w:t>
      </w:r>
      <w:r>
        <w:rPr>
          <w:rStyle w:val="EndnoteReference"/>
          <w:rFonts w:ascii="ArialMT" w:hAnsi="ArialMT" w:cs="ArialMT"/>
          <w:sz w:val="24"/>
          <w:szCs w:val="24"/>
        </w:rPr>
        <w:endnoteReference w:id="2"/>
      </w:r>
    </w:p>
    <w:p w:rsidR="00E163D6" w:rsidRDefault="00E163D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Recent Government reports and media statements about special education have highlighted the Government’s </w:t>
      </w:r>
      <w:r w:rsidRPr="00E163D6">
        <w:rPr>
          <w:rFonts w:ascii="ArialMT" w:hAnsi="ArialMT" w:cs="ArialMT"/>
          <w:sz w:val="24"/>
          <w:szCs w:val="24"/>
        </w:rPr>
        <w:t xml:space="preserve">continued confusion over the definition of Inclusive Education and a lack of a human rights focus in education for disabled students. </w:t>
      </w:r>
    </w:p>
    <w:p w:rsidR="005247CD" w:rsidRDefault="00E163D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E163D6">
        <w:rPr>
          <w:rFonts w:ascii="ArialMT" w:hAnsi="ArialMT" w:cs="ArialMT"/>
          <w:sz w:val="24"/>
          <w:szCs w:val="24"/>
        </w:rPr>
        <w:t>As a modern democratic society, people in New Zealand often hold different views on how to ensure the best education for disabled children. We do not always agree with each other. Some people view a special school or unit is the best choice for their child.</w:t>
      </w:r>
      <w:r w:rsidR="006E6C7C">
        <w:rPr>
          <w:rFonts w:ascii="ArialMT" w:hAnsi="ArialMT" w:cs="ArialMT"/>
          <w:sz w:val="24"/>
          <w:szCs w:val="24"/>
        </w:rPr>
        <w:t xml:space="preserve">  </w:t>
      </w:r>
      <w:r w:rsidRPr="00E163D6">
        <w:rPr>
          <w:rFonts w:ascii="ArialMT" w:hAnsi="ArialMT" w:cs="ArialMT"/>
          <w:sz w:val="24"/>
          <w:szCs w:val="24"/>
        </w:rPr>
        <w:t xml:space="preserve">It is important to respect and understand choice. For choice to be real, however, there must be </w:t>
      </w:r>
      <w:r w:rsidR="000B302C">
        <w:rPr>
          <w:rFonts w:ascii="ArialMT" w:hAnsi="ArialMT" w:cs="ArialMT"/>
          <w:sz w:val="24"/>
          <w:szCs w:val="24"/>
        </w:rPr>
        <w:t>universal access to a fully inclusive education in local early childhood, compulsory</w:t>
      </w:r>
      <w:r w:rsidR="00DA0833">
        <w:rPr>
          <w:rFonts w:ascii="ArialMT" w:hAnsi="ArialMT" w:cs="ArialMT"/>
          <w:sz w:val="24"/>
          <w:szCs w:val="24"/>
        </w:rPr>
        <w:t xml:space="preserve"> primary and secondary and tertiary settings </w:t>
      </w:r>
      <w:r w:rsidRPr="00E163D6">
        <w:rPr>
          <w:rFonts w:ascii="ArialMT" w:hAnsi="ArialMT" w:cs="ArialMT"/>
          <w:sz w:val="24"/>
          <w:szCs w:val="24"/>
        </w:rPr>
        <w:t>and equity of funding.</w:t>
      </w:r>
      <w:r w:rsidR="006E6C7C">
        <w:rPr>
          <w:rFonts w:ascii="ArialMT" w:hAnsi="ArialMT" w:cs="ArialMT"/>
          <w:sz w:val="24"/>
          <w:szCs w:val="24"/>
        </w:rPr>
        <w:t xml:space="preserve"> </w:t>
      </w:r>
      <w:r w:rsidRPr="00E163D6">
        <w:rPr>
          <w:rFonts w:ascii="ArialMT" w:hAnsi="ArialMT" w:cs="ArialMT"/>
          <w:sz w:val="24"/>
          <w:szCs w:val="24"/>
        </w:rPr>
        <w:t xml:space="preserve"> If families are choosing special schools/units because their regular school was unwelcoming, this is not a real choice. If resources are locked up unfairly in special schools and units and not transferable to regular schools then this is also not a real choice.</w:t>
      </w:r>
      <w:r w:rsidR="00A8203D">
        <w:rPr>
          <w:rFonts w:ascii="ArialMT" w:hAnsi="ArialMT" w:cs="ArialMT"/>
          <w:sz w:val="24"/>
          <w:szCs w:val="24"/>
        </w:rPr>
        <w:t xml:space="preserve"> </w:t>
      </w:r>
      <w:r w:rsidR="005247CD">
        <w:rPr>
          <w:rFonts w:ascii="ArialMT" w:hAnsi="ArialMT" w:cs="ArialMT"/>
          <w:sz w:val="24"/>
          <w:szCs w:val="24"/>
        </w:rPr>
        <w:t xml:space="preserve"> In addition if considerable funding is locked up in the property and administration of special schools   this is not equitable funding for disabled students across the education system. </w:t>
      </w:r>
      <w:r w:rsidR="00A8203D">
        <w:rPr>
          <w:rFonts w:ascii="ArialMT" w:hAnsi="ArialMT" w:cs="ArialMT"/>
          <w:sz w:val="24"/>
          <w:szCs w:val="24"/>
        </w:rPr>
        <w:t>And, if achievement levels are significantly lower when disabled children attend special schools/units this is not a real choice.</w:t>
      </w:r>
    </w:p>
    <w:p w:rsidR="00E163D6" w:rsidRPr="006E6C7C" w:rsidRDefault="005247CD"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The Ministry  of Education identifies specific gaps in service provision for disabled students</w:t>
      </w:r>
      <w:r w:rsidR="006E6C7C">
        <w:rPr>
          <w:rFonts w:ascii="ArialMT" w:hAnsi="ArialMT" w:cs="ArialMT"/>
          <w:sz w:val="24"/>
          <w:szCs w:val="24"/>
        </w:rPr>
        <w:t xml:space="preserve"> such as progress reports from P</w:t>
      </w:r>
      <w:r>
        <w:rPr>
          <w:rFonts w:ascii="ArialMT" w:hAnsi="ArialMT" w:cs="ArialMT"/>
          <w:sz w:val="24"/>
          <w:szCs w:val="24"/>
        </w:rPr>
        <w:t>rofessional Learning and Development providers have identified that facilitators are “less confident</w:t>
      </w:r>
      <w:r w:rsidR="007A2FCC">
        <w:rPr>
          <w:rFonts w:ascii="ArialMT" w:hAnsi="ArialMT" w:cs="ArialMT"/>
          <w:sz w:val="24"/>
          <w:szCs w:val="24"/>
        </w:rPr>
        <w:t xml:space="preserve"> about promoting inclusive practices that contribute to raising the achievement</w:t>
      </w:r>
      <w:r w:rsidR="006E6C7C">
        <w:rPr>
          <w:rFonts w:ascii="ArialMT" w:hAnsi="ArialMT" w:cs="ArialMT"/>
          <w:sz w:val="24"/>
          <w:szCs w:val="24"/>
        </w:rPr>
        <w:t xml:space="preserve"> of </w:t>
      </w:r>
      <w:r w:rsidR="007A2FCC" w:rsidRPr="006E6C7C">
        <w:rPr>
          <w:rFonts w:ascii="ArialMT" w:hAnsi="ArialMT" w:cs="ArialMT"/>
          <w:sz w:val="24"/>
          <w:szCs w:val="24"/>
        </w:rPr>
        <w:t>learn</w:t>
      </w:r>
      <w:r w:rsidR="000B302C" w:rsidRPr="006E6C7C">
        <w:rPr>
          <w:rFonts w:ascii="ArialMT" w:hAnsi="ArialMT" w:cs="ArialMT"/>
          <w:sz w:val="24"/>
          <w:szCs w:val="24"/>
        </w:rPr>
        <w:t>ers</w:t>
      </w:r>
      <w:r w:rsidR="007A2FCC" w:rsidRPr="006E6C7C">
        <w:rPr>
          <w:rFonts w:ascii="ArialMT" w:hAnsi="ArialMT" w:cs="ArialMT"/>
          <w:sz w:val="24"/>
          <w:szCs w:val="24"/>
        </w:rPr>
        <w:t xml:space="preserve"> with special education needs” (Ministry of Education, 203, p.3). Furthermore in terms of addressing the indicators of student achievement, that there is a need to design a framework for recognising the progress and achievement of learners with special learning needs including those with the most significant special education needs (Ministry </w:t>
      </w:r>
      <w:r w:rsidR="00A8203D" w:rsidRPr="006E6C7C">
        <w:rPr>
          <w:rFonts w:ascii="ArialMT" w:hAnsi="ArialMT" w:cs="ArialMT"/>
          <w:sz w:val="24"/>
          <w:szCs w:val="24"/>
        </w:rPr>
        <w:t xml:space="preserve"> </w:t>
      </w:r>
      <w:r w:rsidR="00CB5DF0" w:rsidRPr="006E6C7C">
        <w:rPr>
          <w:rFonts w:ascii="ArialMT" w:hAnsi="ArialMT" w:cs="ArialMT"/>
          <w:sz w:val="24"/>
          <w:szCs w:val="24"/>
        </w:rPr>
        <w:t>of Education,2013) so that progress is recorded alongside requirements for all typical student learning.</w:t>
      </w:r>
      <w:r w:rsidR="00CB5DF0">
        <w:rPr>
          <w:rStyle w:val="EndnoteReference"/>
          <w:rFonts w:ascii="ArialMT" w:hAnsi="ArialMT" w:cs="ArialMT"/>
          <w:sz w:val="24"/>
          <w:szCs w:val="24"/>
        </w:rPr>
        <w:endnoteReference w:id="3"/>
      </w:r>
    </w:p>
    <w:p w:rsidR="00E163D6" w:rsidRPr="00E163D6" w:rsidRDefault="00F70084"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CCS Disability Action, a national community advocacy and service organisation</w:t>
      </w:r>
      <w:r w:rsidR="00E163D6" w:rsidRPr="00E163D6">
        <w:rPr>
          <w:rFonts w:ascii="ArialMT" w:hAnsi="ArialMT" w:cs="ArialMT"/>
          <w:sz w:val="24"/>
          <w:szCs w:val="24"/>
        </w:rPr>
        <w:t xml:space="preserve"> carried out </w:t>
      </w:r>
      <w:r>
        <w:rPr>
          <w:rFonts w:ascii="ArialMT" w:hAnsi="ArialMT" w:cs="ArialMT"/>
          <w:sz w:val="24"/>
          <w:szCs w:val="24"/>
        </w:rPr>
        <w:t xml:space="preserve">research </w:t>
      </w:r>
      <w:r w:rsidR="00E163D6" w:rsidRPr="00E163D6">
        <w:rPr>
          <w:rFonts w:ascii="ArialMT" w:hAnsi="ArialMT" w:cs="ArialMT"/>
          <w:sz w:val="24"/>
          <w:szCs w:val="24"/>
        </w:rPr>
        <w:t>in 2011 on families with disabled children</w:t>
      </w:r>
      <w:r>
        <w:rPr>
          <w:rFonts w:ascii="ArialMT" w:hAnsi="ArialMT" w:cs="ArialMT"/>
          <w:sz w:val="24"/>
          <w:szCs w:val="24"/>
        </w:rPr>
        <w:t>. This research</w:t>
      </w:r>
      <w:r w:rsidR="00E163D6" w:rsidRPr="00E163D6">
        <w:rPr>
          <w:rFonts w:ascii="ArialMT" w:hAnsi="ArialMT" w:cs="ArialMT"/>
          <w:sz w:val="24"/>
          <w:szCs w:val="24"/>
        </w:rPr>
        <w:t xml:space="preserve"> found that nearly half of the 217 respondents felt they had not always had a real choice between schools. Almost a quarter of those who had not been able to </w:t>
      </w:r>
      <w:r w:rsidR="00E163D6" w:rsidRPr="00E163D6">
        <w:rPr>
          <w:rFonts w:ascii="ArialMT" w:hAnsi="ArialMT" w:cs="ArialMT"/>
          <w:sz w:val="24"/>
          <w:szCs w:val="24"/>
        </w:rPr>
        <w:lastRenderedPageBreak/>
        <w:t>enrol their children in the school of their choice reported an unwelcoming atmosphere, lack of special services and poor equipment and physical access</w:t>
      </w:r>
      <w:r w:rsidR="00C66E01">
        <w:rPr>
          <w:rFonts w:ascii="ArialMT" w:hAnsi="ArialMT" w:cs="ArialMT"/>
          <w:sz w:val="24"/>
          <w:szCs w:val="24"/>
        </w:rPr>
        <w:t xml:space="preserve"> as barriers to their child’s participation in regular settings</w:t>
      </w:r>
      <w:r w:rsidR="00E163D6" w:rsidRPr="00E163D6">
        <w:rPr>
          <w:rFonts w:ascii="ArialMT" w:hAnsi="ArialMT" w:cs="ArialMT"/>
          <w:sz w:val="24"/>
          <w:szCs w:val="24"/>
        </w:rPr>
        <w:t>.</w:t>
      </w:r>
      <w:r w:rsidR="00E163D6" w:rsidRPr="00E163D6">
        <w:rPr>
          <w:rStyle w:val="EndnoteReference"/>
        </w:rPr>
        <w:endnoteReference w:id="4"/>
      </w:r>
      <w:r w:rsidR="00E163D6" w:rsidRPr="00E163D6">
        <w:rPr>
          <w:rFonts w:ascii="ArialMT" w:hAnsi="ArialMT" w:cs="ArialMT"/>
          <w:sz w:val="24"/>
          <w:szCs w:val="24"/>
        </w:rPr>
        <w:t xml:space="preserve"> </w:t>
      </w:r>
    </w:p>
    <w:p w:rsidR="00E163D6" w:rsidRPr="00E163D6" w:rsidRDefault="00E163D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E163D6">
        <w:rPr>
          <w:rFonts w:ascii="ArialMT" w:hAnsi="ArialMT" w:cs="ArialMT"/>
          <w:sz w:val="24"/>
          <w:szCs w:val="24"/>
        </w:rPr>
        <w:t xml:space="preserve">New Zealand Sign Language (NZSL) is an official language in New Zealand. However, there is no right to access education in NZSL. </w:t>
      </w:r>
      <w:r w:rsidR="00A8203D">
        <w:rPr>
          <w:rFonts w:ascii="ArialMT" w:hAnsi="ArialMT" w:cs="ArialMT"/>
          <w:sz w:val="24"/>
          <w:szCs w:val="24"/>
        </w:rPr>
        <w:t>R</w:t>
      </w:r>
      <w:r w:rsidRPr="00E163D6">
        <w:rPr>
          <w:rFonts w:ascii="ArialMT" w:hAnsi="ArialMT" w:cs="ArialMT"/>
          <w:sz w:val="24"/>
          <w:szCs w:val="24"/>
        </w:rPr>
        <w:t xml:space="preserve">ealising language rights depends on the provision of environments that bring together a critical mass of users of that language, including fluent users. In New Zealand we have Kura </w:t>
      </w:r>
      <w:proofErr w:type="spellStart"/>
      <w:r w:rsidRPr="00E163D6">
        <w:rPr>
          <w:rFonts w:ascii="ArialMT" w:hAnsi="ArialMT" w:cs="ArialMT"/>
          <w:sz w:val="24"/>
          <w:szCs w:val="24"/>
        </w:rPr>
        <w:t>Kaupapa</w:t>
      </w:r>
      <w:proofErr w:type="spellEnd"/>
      <w:r w:rsidRPr="00E163D6">
        <w:rPr>
          <w:rFonts w:ascii="ArialMT" w:hAnsi="ArialMT" w:cs="ArialMT"/>
          <w:sz w:val="24"/>
          <w:szCs w:val="24"/>
        </w:rPr>
        <w:t xml:space="preserve"> schools for Māori children and their families. Māori children cannot acquire Māori language</w:t>
      </w:r>
      <w:r w:rsidR="008A2826">
        <w:rPr>
          <w:rFonts w:ascii="ArialMT" w:hAnsi="ArialMT" w:cs="ArialMT"/>
          <w:sz w:val="24"/>
          <w:szCs w:val="24"/>
        </w:rPr>
        <w:t xml:space="preserve"> (an official language in New Zealand)</w:t>
      </w:r>
      <w:r w:rsidRPr="00E163D6">
        <w:rPr>
          <w:rFonts w:ascii="ArialMT" w:hAnsi="ArialMT" w:cs="ArialMT"/>
          <w:sz w:val="24"/>
          <w:szCs w:val="24"/>
        </w:rPr>
        <w:t xml:space="preserve"> and culture in a classroom where</w:t>
      </w:r>
      <w:r w:rsidR="008A2826">
        <w:rPr>
          <w:rFonts w:ascii="ArialMT" w:hAnsi="ArialMT" w:cs="ArialMT"/>
          <w:sz w:val="24"/>
          <w:szCs w:val="24"/>
        </w:rPr>
        <w:t xml:space="preserve"> they are the only Māori person</w:t>
      </w:r>
      <w:r w:rsidR="00C66E01">
        <w:rPr>
          <w:rFonts w:ascii="ArialMT" w:hAnsi="ArialMT" w:cs="ArialMT"/>
          <w:sz w:val="24"/>
          <w:szCs w:val="24"/>
        </w:rPr>
        <w:t xml:space="preserve">. </w:t>
      </w:r>
      <w:r w:rsidRPr="00E163D6">
        <w:rPr>
          <w:rFonts w:ascii="ArialMT" w:hAnsi="ArialMT" w:cs="ArialMT"/>
          <w:sz w:val="24"/>
          <w:szCs w:val="24"/>
        </w:rPr>
        <w:t>These arguments similarly apply to deaf children. And, Deaf schools and Deaf units have a role in sign language maintenance and transmission of the language between generations.</w:t>
      </w:r>
      <w:r w:rsidRPr="00E163D6">
        <w:rPr>
          <w:rStyle w:val="EndnoteReference"/>
        </w:rPr>
        <w:endnoteReference w:id="5"/>
      </w:r>
      <w:r w:rsidRPr="00E163D6">
        <w:rPr>
          <w:rFonts w:ascii="ArialMT" w:hAnsi="ArialMT" w:cs="ArialMT"/>
          <w:sz w:val="24"/>
          <w:szCs w:val="24"/>
        </w:rPr>
        <w:t xml:space="preserve"> </w:t>
      </w:r>
    </w:p>
    <w:p w:rsidR="00E163D6" w:rsidRDefault="00E163D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There are similar views expressed for the provision of education for blind </w:t>
      </w:r>
      <w:r w:rsidR="00A8203D">
        <w:rPr>
          <w:rFonts w:ascii="ArialMT" w:hAnsi="ArialMT" w:cs="ArialMT"/>
          <w:sz w:val="24"/>
          <w:szCs w:val="24"/>
        </w:rPr>
        <w:t>and visually impaired students, where particular learning resources and strategies can be shared.</w:t>
      </w:r>
    </w:p>
    <w:p w:rsidR="00E163D6" w:rsidRDefault="00E163D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Guidance on inclusive education </w:t>
      </w:r>
      <w:r w:rsidR="008A2826">
        <w:rPr>
          <w:rFonts w:ascii="ArialMT" w:hAnsi="ArialMT" w:cs="ArialMT"/>
          <w:sz w:val="24"/>
          <w:szCs w:val="24"/>
        </w:rPr>
        <w:t xml:space="preserve"> with particular reference to the extent to which State parties should provide a legally enforceable right to inclusive education </w:t>
      </w:r>
      <w:r w:rsidR="00F47B74">
        <w:rPr>
          <w:rFonts w:ascii="ArialMT" w:hAnsi="ArialMT" w:cs="ArialMT"/>
          <w:sz w:val="24"/>
          <w:szCs w:val="24"/>
        </w:rPr>
        <w:t xml:space="preserve">and what this looks like in practice could </w:t>
      </w:r>
      <w:r>
        <w:rPr>
          <w:rFonts w:ascii="ArialMT" w:hAnsi="ArialMT" w:cs="ArialMT"/>
          <w:sz w:val="24"/>
          <w:szCs w:val="24"/>
        </w:rPr>
        <w:t xml:space="preserve">help States to implement </w:t>
      </w:r>
      <w:r w:rsidR="00F47B74">
        <w:rPr>
          <w:rFonts w:ascii="ArialMT" w:hAnsi="ArialMT" w:cs="ArialMT"/>
          <w:sz w:val="24"/>
          <w:szCs w:val="24"/>
        </w:rPr>
        <w:t>this framework</w:t>
      </w:r>
      <w:r w:rsidR="00C66E01">
        <w:rPr>
          <w:rFonts w:ascii="ArialMT" w:hAnsi="ArialMT" w:cs="ArialMT"/>
          <w:sz w:val="24"/>
          <w:szCs w:val="24"/>
        </w:rPr>
        <w:t>.</w:t>
      </w:r>
    </w:p>
    <w:p w:rsidR="008C533D" w:rsidRPr="00B61AC6" w:rsidRDefault="008C533D" w:rsidP="00FF31FD">
      <w:pPr>
        <w:pStyle w:val="Heading1"/>
        <w:spacing w:before="720"/>
        <w:ind w:left="-425"/>
        <w:jc w:val="both"/>
        <w:rPr>
          <w:rFonts w:ascii="ArialMT" w:hAnsi="ArialMT" w:cs="ArialMT"/>
          <w:sz w:val="24"/>
          <w:szCs w:val="24"/>
        </w:rPr>
      </w:pPr>
      <w:r>
        <w:t>Reasonable accommodation</w:t>
      </w:r>
    </w:p>
    <w:p w:rsidR="00C01F9F" w:rsidRDefault="00C01F9F"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B61AC6">
        <w:rPr>
          <w:rFonts w:ascii="ArialMT" w:hAnsi="ArialMT" w:cs="ArialMT"/>
          <w:sz w:val="24"/>
          <w:szCs w:val="24"/>
        </w:rPr>
        <w:t>Access to funding and support for disabled children in education is a common theme among complaints made to the Ombudsman and the Human Rights Commission</w:t>
      </w:r>
      <w:r>
        <w:rPr>
          <w:rFonts w:ascii="ArialMT" w:hAnsi="ArialMT" w:cs="ArialMT"/>
          <w:sz w:val="24"/>
          <w:szCs w:val="24"/>
        </w:rPr>
        <w:t>,</w:t>
      </w:r>
      <w:r w:rsidRPr="00E163D6">
        <w:rPr>
          <w:rStyle w:val="EndnoteReference"/>
        </w:rPr>
        <w:endnoteReference w:id="6"/>
      </w:r>
      <w:r w:rsidRPr="00B61AC6">
        <w:rPr>
          <w:rFonts w:ascii="ArialMT" w:hAnsi="ArialMT" w:cs="ArialMT"/>
          <w:sz w:val="24"/>
          <w:szCs w:val="24"/>
        </w:rPr>
        <w:t xml:space="preserve"> and </w:t>
      </w:r>
      <w:r>
        <w:rPr>
          <w:rFonts w:ascii="ArialMT" w:hAnsi="ArialMT" w:cs="ArialMT"/>
          <w:sz w:val="24"/>
          <w:szCs w:val="24"/>
        </w:rPr>
        <w:t xml:space="preserve">is </w:t>
      </w:r>
      <w:r w:rsidRPr="00B61AC6">
        <w:rPr>
          <w:rFonts w:ascii="ArialMT" w:hAnsi="ArialMT" w:cs="ArialMT"/>
          <w:sz w:val="24"/>
          <w:szCs w:val="24"/>
        </w:rPr>
        <w:t>the largest area of disability complaints to the Human Rights Commission</w:t>
      </w:r>
      <w:r>
        <w:rPr>
          <w:rFonts w:ascii="ArialMT" w:hAnsi="ArialMT" w:cs="ArialMT"/>
          <w:sz w:val="24"/>
          <w:szCs w:val="24"/>
        </w:rPr>
        <w:t>.</w:t>
      </w:r>
      <w:r w:rsidRPr="00E163D6">
        <w:rPr>
          <w:rStyle w:val="EndnoteReference"/>
        </w:rPr>
        <w:endnoteReference w:id="7"/>
      </w:r>
      <w:r w:rsidR="00C16C7D">
        <w:rPr>
          <w:rFonts w:ascii="ArialMT" w:hAnsi="ArialMT" w:cs="ArialMT"/>
          <w:sz w:val="24"/>
          <w:szCs w:val="24"/>
        </w:rPr>
        <w:t xml:space="preserve"> These complaints related to a lack of reasonable accommodation, lack of participation and delayed or denied enrolment due to disability and/or a lack of support funding.</w:t>
      </w:r>
      <w:r w:rsidR="008A2826">
        <w:rPr>
          <w:rFonts w:ascii="ArialMT" w:hAnsi="ArialMT" w:cs="ArialMT"/>
          <w:sz w:val="24"/>
          <w:szCs w:val="24"/>
        </w:rPr>
        <w:t xml:space="preserve"> The Independent Monitoring Mechanism for CPRD noted in 2012 and 2014 that disabled students</w:t>
      </w:r>
      <w:r w:rsidR="00FF31FD">
        <w:rPr>
          <w:rFonts w:ascii="ArialMT" w:hAnsi="ArialMT" w:cs="ArialMT"/>
          <w:sz w:val="24"/>
          <w:szCs w:val="24"/>
        </w:rPr>
        <w:t xml:space="preserve"> </w:t>
      </w:r>
      <w:r w:rsidR="001F4645">
        <w:rPr>
          <w:rFonts w:ascii="ArialMT" w:hAnsi="ArialMT" w:cs="ArialMT"/>
          <w:sz w:val="24"/>
          <w:szCs w:val="24"/>
        </w:rPr>
        <w:t>(particularly those with neuro diverse impairments)</w:t>
      </w:r>
      <w:r w:rsidR="008A2826">
        <w:rPr>
          <w:rFonts w:ascii="ArialMT" w:hAnsi="ArialMT" w:cs="ArialMT"/>
          <w:sz w:val="24"/>
          <w:szCs w:val="24"/>
        </w:rPr>
        <w:t xml:space="preserve"> </w:t>
      </w:r>
      <w:proofErr w:type="gramStart"/>
      <w:r w:rsidR="001F4645">
        <w:rPr>
          <w:rFonts w:ascii="ArialMT" w:hAnsi="ArialMT" w:cs="ArialMT"/>
          <w:sz w:val="24"/>
          <w:szCs w:val="24"/>
        </w:rPr>
        <w:t>are</w:t>
      </w:r>
      <w:proofErr w:type="gramEnd"/>
      <w:r w:rsidR="001F4645">
        <w:rPr>
          <w:rFonts w:ascii="ArialMT" w:hAnsi="ArialMT" w:cs="ArialMT"/>
          <w:sz w:val="24"/>
          <w:szCs w:val="24"/>
        </w:rPr>
        <w:t xml:space="preserve"> </w:t>
      </w:r>
      <w:r w:rsidR="00FF31FD">
        <w:rPr>
          <w:rFonts w:ascii="ArialMT" w:hAnsi="ArialMT" w:cs="ArialMT"/>
          <w:sz w:val="24"/>
          <w:szCs w:val="24"/>
        </w:rPr>
        <w:t>over represented</w:t>
      </w:r>
      <w:r w:rsidR="001F4645">
        <w:rPr>
          <w:rFonts w:ascii="ArialMT" w:hAnsi="ArialMT" w:cs="ArialMT"/>
          <w:sz w:val="24"/>
          <w:szCs w:val="24"/>
        </w:rPr>
        <w:t xml:space="preserve"> in disciplinary procedures.</w:t>
      </w:r>
    </w:p>
    <w:p w:rsidR="008A2826" w:rsidRDefault="008A2826"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Ministry of Education guidelines to schools and education policy documents currently do not make reference to UNCRPD or specific reference to disabled students</w:t>
      </w:r>
      <w:r w:rsidR="006E6C7C">
        <w:rPr>
          <w:rFonts w:ascii="ArialMT" w:hAnsi="ArialMT" w:cs="ArialMT"/>
          <w:sz w:val="24"/>
          <w:szCs w:val="24"/>
        </w:rPr>
        <w:t>’</w:t>
      </w:r>
      <w:r>
        <w:rPr>
          <w:rFonts w:ascii="ArialMT" w:hAnsi="ArialMT" w:cs="ArialMT"/>
          <w:sz w:val="24"/>
          <w:szCs w:val="24"/>
        </w:rPr>
        <w:t xml:space="preserve"> rights to reasonable accommodation</w:t>
      </w:r>
      <w:r w:rsidR="001F4645">
        <w:rPr>
          <w:rFonts w:ascii="ArialMT" w:hAnsi="ArialMT" w:cs="ArialMT"/>
          <w:sz w:val="24"/>
          <w:szCs w:val="24"/>
        </w:rPr>
        <w:t xml:space="preserve">. The resourcing framework “Special Education 2000” provides for levels of accommodations but given </w:t>
      </w:r>
      <w:r w:rsidR="004F1078">
        <w:rPr>
          <w:rFonts w:ascii="ArialMT" w:hAnsi="ArialMT" w:cs="ArialMT"/>
          <w:sz w:val="24"/>
          <w:szCs w:val="24"/>
        </w:rPr>
        <w:t xml:space="preserve">the high numbers of complaints </w:t>
      </w:r>
      <w:r w:rsidR="001F4645">
        <w:rPr>
          <w:rFonts w:ascii="ArialMT" w:hAnsi="ArialMT" w:cs="ArialMT"/>
          <w:sz w:val="24"/>
          <w:szCs w:val="24"/>
        </w:rPr>
        <w:t>referred to above</w:t>
      </w:r>
      <w:r w:rsidR="004F1078">
        <w:rPr>
          <w:rFonts w:ascii="ArialMT" w:hAnsi="ArialMT" w:cs="ArialMT"/>
          <w:sz w:val="24"/>
          <w:szCs w:val="24"/>
        </w:rPr>
        <w:t xml:space="preserve"> and elsewhere in this submission</w:t>
      </w:r>
      <w:r w:rsidR="001F4645">
        <w:rPr>
          <w:rFonts w:ascii="ArialMT" w:hAnsi="ArialMT" w:cs="ArialMT"/>
          <w:sz w:val="24"/>
          <w:szCs w:val="24"/>
        </w:rPr>
        <w:t xml:space="preserve"> there is a</w:t>
      </w:r>
      <w:r w:rsidR="004F1078">
        <w:rPr>
          <w:rFonts w:ascii="ArialMT" w:hAnsi="ArialMT" w:cs="ArialMT"/>
          <w:sz w:val="24"/>
          <w:szCs w:val="24"/>
        </w:rPr>
        <w:t>n urgent</w:t>
      </w:r>
      <w:r w:rsidR="001F4645">
        <w:rPr>
          <w:rFonts w:ascii="ArialMT" w:hAnsi="ArialMT" w:cs="ArialMT"/>
          <w:sz w:val="24"/>
          <w:szCs w:val="24"/>
        </w:rPr>
        <w:t xml:space="preserve"> need for new definitions </w:t>
      </w:r>
      <w:r w:rsidR="004F1078">
        <w:rPr>
          <w:rFonts w:ascii="ArialMT" w:hAnsi="ArialMT" w:cs="ArialMT"/>
          <w:sz w:val="24"/>
          <w:szCs w:val="24"/>
        </w:rPr>
        <w:t xml:space="preserve">and shared understandings </w:t>
      </w:r>
      <w:r w:rsidR="001F4645">
        <w:rPr>
          <w:rFonts w:ascii="ArialMT" w:hAnsi="ArialMT" w:cs="ArialMT"/>
          <w:sz w:val="24"/>
          <w:szCs w:val="24"/>
        </w:rPr>
        <w:t>of re</w:t>
      </w:r>
      <w:r w:rsidR="004F1078">
        <w:rPr>
          <w:rFonts w:ascii="ArialMT" w:hAnsi="ArialMT" w:cs="ArialMT"/>
          <w:sz w:val="24"/>
          <w:szCs w:val="24"/>
        </w:rPr>
        <w:t>asonable accommodation to ensure that disabled students have equitable access to education.</w:t>
      </w:r>
      <w:r w:rsidR="00AE6F23">
        <w:rPr>
          <w:rFonts w:ascii="ArialMT" w:hAnsi="ArialMT" w:cs="ArialMT"/>
          <w:sz w:val="24"/>
          <w:szCs w:val="24"/>
        </w:rPr>
        <w:t xml:space="preserve"> In addition the government’s stated commitment to </w:t>
      </w:r>
      <w:r w:rsidR="00AE6F23">
        <w:rPr>
          <w:rFonts w:ascii="ArialMT" w:hAnsi="ArialMT" w:cs="ArialMT"/>
          <w:sz w:val="24"/>
          <w:szCs w:val="24"/>
        </w:rPr>
        <w:lastRenderedPageBreak/>
        <w:t>inclusive education needs to be measured against the binding obligation to reasonably accommodate. Currently there are difficulties with how this</w:t>
      </w:r>
      <w:r w:rsidR="00D875A9">
        <w:rPr>
          <w:rFonts w:ascii="ArialMT" w:hAnsi="ArialMT" w:cs="ArialMT"/>
          <w:sz w:val="24"/>
          <w:szCs w:val="24"/>
        </w:rPr>
        <w:t xml:space="preserve"> obligation</w:t>
      </w:r>
      <w:r w:rsidR="00AE6F23">
        <w:rPr>
          <w:rFonts w:ascii="ArialMT" w:hAnsi="ArialMT" w:cs="ArialMT"/>
          <w:sz w:val="24"/>
          <w:szCs w:val="24"/>
        </w:rPr>
        <w:t xml:space="preserve"> is measured</w:t>
      </w:r>
      <w:r w:rsidR="00D875A9">
        <w:rPr>
          <w:rFonts w:ascii="ArialMT" w:hAnsi="ArialMT" w:cs="ArialMT"/>
          <w:sz w:val="24"/>
          <w:szCs w:val="24"/>
        </w:rPr>
        <w:t>.</w:t>
      </w:r>
      <w:r w:rsidR="00AE6F23">
        <w:rPr>
          <w:rFonts w:ascii="ArialMT" w:hAnsi="ArialMT" w:cs="ArialMT"/>
          <w:sz w:val="24"/>
          <w:szCs w:val="24"/>
        </w:rPr>
        <w:t xml:space="preserve">  </w:t>
      </w:r>
    </w:p>
    <w:p w:rsidR="00DF0589" w:rsidRPr="00E163D6" w:rsidRDefault="00DF0589"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E163D6">
        <w:rPr>
          <w:rFonts w:ascii="ArialMT" w:hAnsi="ArialMT" w:cs="ArialMT"/>
          <w:sz w:val="24"/>
          <w:szCs w:val="24"/>
        </w:rPr>
        <w:t>Schools that welcome disabled students tend to attract more disabled students, becoming</w:t>
      </w:r>
      <w:r w:rsidR="004F1078">
        <w:rPr>
          <w:rFonts w:ascii="ArialMT" w:hAnsi="ArialMT" w:cs="ArialMT"/>
          <w:sz w:val="24"/>
          <w:szCs w:val="24"/>
        </w:rPr>
        <w:t>”</w:t>
      </w:r>
      <w:r w:rsidRPr="00E163D6">
        <w:rPr>
          <w:rFonts w:ascii="ArialMT" w:hAnsi="ArialMT" w:cs="ArialMT"/>
          <w:sz w:val="24"/>
          <w:szCs w:val="24"/>
        </w:rPr>
        <w:t xml:space="preserve"> magnet</w:t>
      </w:r>
      <w:r w:rsidR="004F1078">
        <w:rPr>
          <w:rFonts w:ascii="ArialMT" w:hAnsi="ArialMT" w:cs="ArialMT"/>
          <w:sz w:val="24"/>
          <w:szCs w:val="24"/>
        </w:rPr>
        <w:t>”</w:t>
      </w:r>
      <w:r w:rsidRPr="00E163D6">
        <w:rPr>
          <w:rFonts w:ascii="ArialMT" w:hAnsi="ArialMT" w:cs="ArialMT"/>
          <w:sz w:val="24"/>
          <w:szCs w:val="24"/>
        </w:rPr>
        <w:t xml:space="preserve"> schools. This puts pressure on their resourcing. By comparison, schools that are not welcoming to disabled students have less funding pressure and do not have to adapt their teaching methods to the same extent.</w:t>
      </w:r>
      <w:r w:rsidR="00C97D70" w:rsidRPr="00E163D6">
        <w:rPr>
          <w:rFonts w:ascii="ArialMT" w:hAnsi="ArialMT" w:cs="ArialMT"/>
          <w:sz w:val="24"/>
          <w:szCs w:val="24"/>
        </w:rPr>
        <w:t xml:space="preserve"> This suggests schools are being rewarded for discouraging disabled students from enrolling. </w:t>
      </w:r>
    </w:p>
    <w:p w:rsidR="008C533D" w:rsidRDefault="00C01F9F"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B61AC6">
        <w:rPr>
          <w:rFonts w:ascii="ArialMT" w:hAnsi="ArialMT" w:cs="ArialMT"/>
          <w:sz w:val="24"/>
          <w:szCs w:val="24"/>
        </w:rPr>
        <w:t xml:space="preserve">There </w:t>
      </w:r>
      <w:r w:rsidR="00C97D70">
        <w:rPr>
          <w:rFonts w:ascii="ArialMT" w:hAnsi="ArialMT" w:cs="ArialMT"/>
          <w:sz w:val="24"/>
          <w:szCs w:val="24"/>
        </w:rPr>
        <w:t xml:space="preserve">is considerable evidence in New Zealand </w:t>
      </w:r>
      <w:r w:rsidR="008C533D">
        <w:rPr>
          <w:rFonts w:ascii="ArialMT" w:hAnsi="ArialMT" w:cs="ArialMT"/>
          <w:sz w:val="24"/>
          <w:szCs w:val="24"/>
        </w:rPr>
        <w:t xml:space="preserve">of difficulties in accessing funding and support resulting in </w:t>
      </w:r>
      <w:r w:rsidR="00C97D70">
        <w:rPr>
          <w:rFonts w:ascii="ArialMT" w:hAnsi="ArialMT" w:cs="ArialMT"/>
          <w:sz w:val="24"/>
          <w:szCs w:val="24"/>
        </w:rPr>
        <w:t xml:space="preserve">many disabled children </w:t>
      </w:r>
      <w:r w:rsidR="008C533D">
        <w:rPr>
          <w:rFonts w:ascii="ArialMT" w:hAnsi="ArialMT" w:cs="ArialMT"/>
          <w:sz w:val="24"/>
          <w:szCs w:val="24"/>
        </w:rPr>
        <w:t xml:space="preserve">being </w:t>
      </w:r>
      <w:r w:rsidR="00C97D70">
        <w:rPr>
          <w:rFonts w:ascii="ArialMT" w:hAnsi="ArialMT" w:cs="ArialMT"/>
          <w:sz w:val="24"/>
          <w:szCs w:val="24"/>
        </w:rPr>
        <w:t>unable to realise their right to education on an equal basis with others.</w:t>
      </w:r>
      <w:r w:rsidRPr="00E163D6">
        <w:rPr>
          <w:rStyle w:val="EndnoteReference"/>
        </w:rPr>
        <w:endnoteReference w:id="8"/>
      </w:r>
      <w:r w:rsidRPr="00B61AC6">
        <w:rPr>
          <w:rFonts w:ascii="ArialMT" w:hAnsi="ArialMT" w:cs="ArialMT"/>
          <w:sz w:val="24"/>
          <w:szCs w:val="24"/>
        </w:rPr>
        <w:t xml:space="preserve"> </w:t>
      </w:r>
    </w:p>
    <w:p w:rsidR="008C533D" w:rsidRDefault="004F1078"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The fact that education</w:t>
      </w:r>
      <w:r w:rsidR="008C533D">
        <w:rPr>
          <w:rFonts w:ascii="ArialMT" w:hAnsi="ArialMT" w:cs="ArialMT"/>
          <w:sz w:val="24"/>
          <w:szCs w:val="24"/>
        </w:rPr>
        <w:t xml:space="preserve"> legislation in New Zealand do</w:t>
      </w:r>
      <w:r>
        <w:rPr>
          <w:rFonts w:ascii="ArialMT" w:hAnsi="ArialMT" w:cs="ArialMT"/>
          <w:sz w:val="24"/>
          <w:szCs w:val="24"/>
        </w:rPr>
        <w:t>es</w:t>
      </w:r>
      <w:r w:rsidR="008C533D">
        <w:rPr>
          <w:rFonts w:ascii="ArialMT" w:hAnsi="ArialMT" w:cs="ArialMT"/>
          <w:sz w:val="24"/>
          <w:szCs w:val="24"/>
        </w:rPr>
        <w:t xml:space="preserve"> not refer to the CRPD </w:t>
      </w:r>
      <w:r>
        <w:rPr>
          <w:rFonts w:ascii="ArialMT" w:hAnsi="ArialMT" w:cs="ArialMT"/>
          <w:sz w:val="24"/>
          <w:szCs w:val="24"/>
        </w:rPr>
        <w:t xml:space="preserve">or </w:t>
      </w:r>
      <w:r w:rsidR="008C533D">
        <w:rPr>
          <w:rFonts w:ascii="ArialMT" w:hAnsi="ArialMT" w:cs="ArialMT"/>
          <w:sz w:val="24"/>
          <w:szCs w:val="24"/>
        </w:rPr>
        <w:t>use the term “reasonable accommodations”</w:t>
      </w:r>
      <w:r w:rsidR="00282C25">
        <w:rPr>
          <w:rFonts w:ascii="ArialMT" w:hAnsi="ArialMT" w:cs="ArialMT"/>
          <w:sz w:val="24"/>
          <w:szCs w:val="24"/>
        </w:rPr>
        <w:t xml:space="preserve"> in its provision of support and funding</w:t>
      </w:r>
      <w:r>
        <w:rPr>
          <w:rFonts w:ascii="ArialMT" w:hAnsi="ArialMT" w:cs="ArialMT"/>
          <w:sz w:val="24"/>
          <w:szCs w:val="24"/>
        </w:rPr>
        <w:t xml:space="preserve"> </w:t>
      </w:r>
      <w:r w:rsidR="008C533D">
        <w:rPr>
          <w:rFonts w:ascii="ArialMT" w:hAnsi="ArialMT" w:cs="ArialMT"/>
          <w:sz w:val="24"/>
          <w:szCs w:val="24"/>
        </w:rPr>
        <w:t>is indicative of the lack of human rights principles</w:t>
      </w:r>
      <w:r w:rsidR="00EC3738">
        <w:rPr>
          <w:rFonts w:ascii="ArialMT" w:hAnsi="ArialMT" w:cs="ArialMT"/>
          <w:sz w:val="24"/>
          <w:szCs w:val="24"/>
        </w:rPr>
        <w:t xml:space="preserve"> and approaches</w:t>
      </w:r>
      <w:r w:rsidR="008C533D">
        <w:rPr>
          <w:rFonts w:ascii="ArialMT" w:hAnsi="ArialMT" w:cs="ArialMT"/>
          <w:sz w:val="24"/>
          <w:szCs w:val="24"/>
        </w:rPr>
        <w:t xml:space="preserve"> in </w:t>
      </w:r>
      <w:r w:rsidR="00282C25">
        <w:rPr>
          <w:rFonts w:ascii="ArialMT" w:hAnsi="ArialMT" w:cs="ArialMT"/>
          <w:sz w:val="24"/>
          <w:szCs w:val="24"/>
        </w:rPr>
        <w:t xml:space="preserve">special education </w:t>
      </w:r>
      <w:r w:rsidR="008C533D">
        <w:rPr>
          <w:rFonts w:ascii="ArialMT" w:hAnsi="ArialMT" w:cs="ArialMT"/>
          <w:sz w:val="24"/>
          <w:szCs w:val="24"/>
        </w:rPr>
        <w:t>policy and practice</w:t>
      </w:r>
      <w:r w:rsidR="00282C25">
        <w:rPr>
          <w:rFonts w:ascii="ArialMT" w:hAnsi="ArialMT" w:cs="ArialMT"/>
          <w:sz w:val="24"/>
          <w:szCs w:val="24"/>
        </w:rPr>
        <w:t xml:space="preserve"> in New Zealand</w:t>
      </w:r>
      <w:r w:rsidR="008C533D">
        <w:rPr>
          <w:rFonts w:ascii="ArialMT" w:hAnsi="ArialMT" w:cs="ArialMT"/>
          <w:sz w:val="24"/>
          <w:szCs w:val="24"/>
        </w:rPr>
        <w:t xml:space="preserve">. </w:t>
      </w:r>
      <w:r w:rsidR="005A7F38">
        <w:rPr>
          <w:rFonts w:ascii="ArialMT" w:hAnsi="ArialMT" w:cs="ArialMT"/>
          <w:sz w:val="24"/>
          <w:szCs w:val="24"/>
        </w:rPr>
        <w:t xml:space="preserve"> While these gaps remain the</w:t>
      </w:r>
      <w:r w:rsidR="00EC3738">
        <w:rPr>
          <w:rFonts w:ascii="ArialMT" w:hAnsi="ArialMT" w:cs="ArialMT"/>
          <w:sz w:val="24"/>
          <w:szCs w:val="24"/>
        </w:rPr>
        <w:t xml:space="preserve"> positive policy work completed since rat</w:t>
      </w:r>
      <w:r w:rsidR="005A7F38">
        <w:rPr>
          <w:rFonts w:ascii="ArialMT" w:hAnsi="ArialMT" w:cs="ArialMT"/>
          <w:sz w:val="24"/>
          <w:szCs w:val="24"/>
        </w:rPr>
        <w:t>ification of CPRD will fail to recognise and respond to</w:t>
      </w:r>
      <w:r w:rsidR="00EC3738">
        <w:rPr>
          <w:rFonts w:ascii="ArialMT" w:hAnsi="ArialMT" w:cs="ArialMT"/>
          <w:sz w:val="24"/>
          <w:szCs w:val="24"/>
        </w:rPr>
        <w:t xml:space="preserve"> disabled students’ human rights to reasonable accommodation in education settings.</w:t>
      </w:r>
    </w:p>
    <w:p w:rsidR="003D138F" w:rsidRDefault="003D138F"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 xml:space="preserve">A case to be heard by the Court of Appeal in 2015, </w:t>
      </w:r>
      <w:r w:rsidR="005A7F38" w:rsidRPr="005A7F38">
        <w:rPr>
          <w:rFonts w:ascii="ArialMT" w:hAnsi="ArialMT" w:cs="ArialMT"/>
          <w:i/>
          <w:sz w:val="24"/>
          <w:szCs w:val="24"/>
        </w:rPr>
        <w:t xml:space="preserve">Morag Fraser </w:t>
      </w:r>
      <w:r w:rsidRPr="005A7F38">
        <w:rPr>
          <w:rFonts w:ascii="ArialMT" w:hAnsi="ArialMT" w:cs="ArialMT"/>
          <w:i/>
          <w:sz w:val="24"/>
          <w:szCs w:val="24"/>
        </w:rPr>
        <w:t xml:space="preserve">Hutchinson V </w:t>
      </w:r>
      <w:proofErr w:type="gramStart"/>
      <w:r w:rsidRPr="005A7F38">
        <w:rPr>
          <w:rFonts w:ascii="ArialMT" w:hAnsi="ArialMT" w:cs="ArialMT"/>
          <w:i/>
          <w:sz w:val="24"/>
          <w:szCs w:val="24"/>
        </w:rPr>
        <w:t>The</w:t>
      </w:r>
      <w:proofErr w:type="gramEnd"/>
      <w:r w:rsidRPr="005A7F38">
        <w:rPr>
          <w:rFonts w:ascii="ArialMT" w:hAnsi="ArialMT" w:cs="ArialMT"/>
          <w:i/>
          <w:sz w:val="24"/>
          <w:szCs w:val="24"/>
        </w:rPr>
        <w:t xml:space="preserve"> Board of Trustees of Green </w:t>
      </w:r>
      <w:r w:rsidR="00AB1329" w:rsidRPr="005A7F38">
        <w:rPr>
          <w:rFonts w:ascii="ArialMT" w:hAnsi="ArialMT" w:cs="ArialMT"/>
          <w:i/>
          <w:sz w:val="24"/>
          <w:szCs w:val="24"/>
        </w:rPr>
        <w:t>B</w:t>
      </w:r>
      <w:r w:rsidRPr="005A7F38">
        <w:rPr>
          <w:rFonts w:ascii="ArialMT" w:hAnsi="ArialMT" w:cs="ArialMT"/>
          <w:i/>
          <w:sz w:val="24"/>
          <w:szCs w:val="24"/>
        </w:rPr>
        <w:t>ay High School</w:t>
      </w:r>
      <w:r>
        <w:rPr>
          <w:rFonts w:ascii="ArialMT" w:hAnsi="ArialMT" w:cs="ArialMT"/>
          <w:sz w:val="24"/>
          <w:szCs w:val="24"/>
        </w:rPr>
        <w:t>, considers the positive obligations to accommodate a disabled students needs and how those needs</w:t>
      </w:r>
      <w:r w:rsidR="00AE6F23">
        <w:rPr>
          <w:rFonts w:ascii="ArialMT" w:hAnsi="ArialMT" w:cs="ArialMT"/>
          <w:sz w:val="24"/>
          <w:szCs w:val="24"/>
        </w:rPr>
        <w:t xml:space="preserve"> and the extent to which they were accommodated </w:t>
      </w:r>
      <w:r>
        <w:rPr>
          <w:rFonts w:ascii="ArialMT" w:hAnsi="ArialMT" w:cs="ArialMT"/>
          <w:sz w:val="24"/>
          <w:szCs w:val="24"/>
        </w:rPr>
        <w:t xml:space="preserve">were factored into the decision to exclude him. </w:t>
      </w:r>
      <w:r w:rsidR="00AB1329">
        <w:rPr>
          <w:rFonts w:ascii="ArialMT" w:hAnsi="ArialMT" w:cs="ArialMT"/>
          <w:sz w:val="24"/>
          <w:szCs w:val="24"/>
        </w:rPr>
        <w:t>It is anticipated that the judgement will clarify reasonable accommodation and the positive obligations to accommodate</w:t>
      </w:r>
      <w:r w:rsidR="00AB1329">
        <w:rPr>
          <w:rStyle w:val="EndnoteReference"/>
          <w:rFonts w:ascii="ArialMT" w:hAnsi="ArialMT" w:cs="ArialMT"/>
          <w:sz w:val="24"/>
          <w:szCs w:val="24"/>
        </w:rPr>
        <w:endnoteReference w:id="9"/>
      </w:r>
    </w:p>
    <w:p w:rsidR="00C16C7D" w:rsidRPr="00B61AC6" w:rsidRDefault="00C16C7D" w:rsidP="00FF31FD">
      <w:pPr>
        <w:pStyle w:val="Heading1"/>
        <w:spacing w:before="720"/>
        <w:ind w:left="-425"/>
        <w:jc w:val="both"/>
      </w:pPr>
      <w:r>
        <w:t>No enforceable right to education for disabled children</w:t>
      </w:r>
    </w:p>
    <w:p w:rsidR="00C01F9F" w:rsidRDefault="00C01F9F"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sidRPr="00C16C7D">
        <w:rPr>
          <w:rFonts w:ascii="ArialMT" w:hAnsi="ArialMT" w:cs="ArialMT"/>
          <w:sz w:val="24"/>
          <w:szCs w:val="24"/>
        </w:rPr>
        <w:t xml:space="preserve">The Independent Monitoring Mechanism for the CRPD noted in 2012 and 2014 </w:t>
      </w:r>
      <w:r w:rsidR="00154900">
        <w:rPr>
          <w:rFonts w:ascii="ArialMT" w:hAnsi="ArialMT" w:cs="ArialMT"/>
          <w:sz w:val="24"/>
          <w:szCs w:val="24"/>
        </w:rPr>
        <w:t>t</w:t>
      </w:r>
      <w:r w:rsidRPr="00C16C7D">
        <w:rPr>
          <w:rFonts w:ascii="ArialMT" w:hAnsi="ArialMT" w:cs="ArialMT"/>
          <w:sz w:val="24"/>
          <w:szCs w:val="24"/>
        </w:rPr>
        <w:t>he lack of an enforceable and specific right to education for disabled children</w:t>
      </w:r>
      <w:r w:rsidR="00154900">
        <w:rPr>
          <w:rFonts w:ascii="ArialMT" w:hAnsi="ArialMT" w:cs="ArialMT"/>
          <w:sz w:val="24"/>
          <w:szCs w:val="24"/>
        </w:rPr>
        <w:t>.</w:t>
      </w:r>
    </w:p>
    <w:p w:rsidR="00154900" w:rsidRDefault="008C533D"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t>In New Zealand the legal right to education for disabled students is not established in a way that consistently guarantees disabled students are able to attend their local school and receive an education aimed at the full realisation of their abilities and talents.</w:t>
      </w:r>
      <w:r w:rsidRPr="00E163D6">
        <w:rPr>
          <w:rStyle w:val="EndnoteReference"/>
        </w:rPr>
        <w:endnoteReference w:id="10"/>
      </w:r>
      <w:r>
        <w:rPr>
          <w:rFonts w:ascii="ArialMT" w:hAnsi="ArialMT" w:cs="ArialMT"/>
          <w:sz w:val="24"/>
          <w:szCs w:val="24"/>
        </w:rPr>
        <w:t xml:space="preserve"> </w:t>
      </w:r>
      <w:r w:rsidR="00E163D6">
        <w:rPr>
          <w:rFonts w:ascii="ArialMT" w:hAnsi="ArialMT" w:cs="ArialMT"/>
          <w:sz w:val="24"/>
          <w:szCs w:val="24"/>
        </w:rPr>
        <w:t>There is currently a gap between the right to education in New Zealand’s Education Act 1989 and the ability and means to enforce it, particularly for disabled students.</w:t>
      </w:r>
      <w:r w:rsidR="00E163D6">
        <w:rPr>
          <w:rStyle w:val="EndnoteReference"/>
          <w:rFonts w:ascii="ArialMT" w:hAnsi="ArialMT" w:cs="ArialMT"/>
          <w:sz w:val="24"/>
          <w:szCs w:val="24"/>
        </w:rPr>
        <w:endnoteReference w:id="11"/>
      </w:r>
      <w:r w:rsidR="00E163D6">
        <w:rPr>
          <w:rFonts w:ascii="ArialMT" w:hAnsi="ArialMT" w:cs="ArialMT"/>
          <w:sz w:val="24"/>
          <w:szCs w:val="24"/>
        </w:rPr>
        <w:t xml:space="preserve"> </w:t>
      </w:r>
    </w:p>
    <w:p w:rsidR="00EC3738" w:rsidRPr="00C16C7D" w:rsidRDefault="00D875A9" w:rsidP="00FF31FD">
      <w:pPr>
        <w:pStyle w:val="ListParagraph"/>
        <w:numPr>
          <w:ilvl w:val="0"/>
          <w:numId w:val="1"/>
        </w:numPr>
        <w:autoSpaceDE w:val="0"/>
        <w:autoSpaceDN w:val="0"/>
        <w:adjustRightInd w:val="0"/>
        <w:spacing w:before="240" w:after="240"/>
        <w:ind w:left="426" w:hanging="709"/>
        <w:contextualSpacing w:val="0"/>
        <w:jc w:val="both"/>
        <w:rPr>
          <w:rFonts w:ascii="ArialMT" w:hAnsi="ArialMT" w:cs="ArialMT"/>
          <w:sz w:val="24"/>
          <w:szCs w:val="24"/>
        </w:rPr>
      </w:pPr>
      <w:r>
        <w:rPr>
          <w:rFonts w:ascii="ArialMT" w:hAnsi="ArialMT" w:cs="ArialMT"/>
          <w:sz w:val="24"/>
          <w:szCs w:val="24"/>
        </w:rPr>
        <w:lastRenderedPageBreak/>
        <w:t xml:space="preserve">New Zealand’s ratification of CPRD has created binding and positive obligations </w:t>
      </w:r>
      <w:r w:rsidR="00FF31FD">
        <w:rPr>
          <w:rFonts w:ascii="ArialMT" w:hAnsi="ArialMT" w:cs="ArialMT"/>
          <w:sz w:val="24"/>
          <w:szCs w:val="24"/>
        </w:rPr>
        <w:t>on</w:t>
      </w:r>
      <w:r w:rsidR="005A7F38">
        <w:rPr>
          <w:rFonts w:ascii="ArialMT" w:hAnsi="ArialMT" w:cs="ArialMT"/>
          <w:sz w:val="24"/>
          <w:szCs w:val="24"/>
        </w:rPr>
        <w:t xml:space="preserve"> government </w:t>
      </w:r>
      <w:r>
        <w:rPr>
          <w:rFonts w:ascii="ArialMT" w:hAnsi="ArialMT" w:cs="ArialMT"/>
          <w:sz w:val="24"/>
          <w:szCs w:val="24"/>
        </w:rPr>
        <w:t xml:space="preserve">to ensure an enforceable right to education for disabled students. </w:t>
      </w:r>
      <w:r w:rsidR="006E6C7C">
        <w:rPr>
          <w:rFonts w:ascii="ArialMT" w:hAnsi="ArialMT" w:cs="ArialMT"/>
          <w:sz w:val="24"/>
          <w:szCs w:val="24"/>
        </w:rPr>
        <w:t xml:space="preserve"> </w:t>
      </w:r>
      <w:r>
        <w:rPr>
          <w:rFonts w:ascii="ArialMT" w:hAnsi="ArialMT" w:cs="ArialMT"/>
          <w:sz w:val="24"/>
          <w:szCs w:val="24"/>
        </w:rPr>
        <w:t xml:space="preserve">Amendments to the Education Act will be required </w:t>
      </w:r>
      <w:r w:rsidR="005A7F38">
        <w:rPr>
          <w:rFonts w:ascii="ArialMT" w:hAnsi="ArialMT" w:cs="ArialMT"/>
          <w:sz w:val="24"/>
          <w:szCs w:val="24"/>
        </w:rPr>
        <w:t>to ensure that the gap referred to above is removed and that domestic jurisprudence promotes and enables inclusive education.</w:t>
      </w:r>
    </w:p>
    <w:p w:rsidR="00C01F9F" w:rsidRPr="00F57B7F" w:rsidRDefault="00117C5C" w:rsidP="00FF31FD">
      <w:pPr>
        <w:pStyle w:val="Heading1"/>
        <w:pBdr>
          <w:bottom w:val="single" w:sz="4" w:space="1" w:color="auto"/>
        </w:pBdr>
        <w:spacing w:before="720"/>
        <w:ind w:left="-426"/>
        <w:jc w:val="both"/>
      </w:pPr>
      <w:bookmarkStart w:id="2" w:name="_Toc268717836"/>
      <w:r>
        <w:rPr>
          <w:rStyle w:val="Heading1Char"/>
        </w:rPr>
        <w:t xml:space="preserve">Recommendations </w:t>
      </w:r>
      <w:bookmarkEnd w:id="2"/>
    </w:p>
    <w:p w:rsidR="00C01F9F" w:rsidRDefault="00C01F9F" w:rsidP="00FF31FD">
      <w:pPr>
        <w:pStyle w:val="ListParagraph"/>
        <w:numPr>
          <w:ilvl w:val="0"/>
          <w:numId w:val="2"/>
        </w:numPr>
        <w:spacing w:before="240" w:after="240"/>
        <w:ind w:hanging="578"/>
        <w:contextualSpacing w:val="0"/>
        <w:jc w:val="both"/>
        <w:rPr>
          <w:rFonts w:ascii="Arial" w:hAnsi="Arial" w:cs="Arial"/>
          <w:sz w:val="24"/>
          <w:szCs w:val="24"/>
        </w:rPr>
      </w:pPr>
      <w:r>
        <w:rPr>
          <w:rFonts w:ascii="Arial" w:hAnsi="Arial" w:cs="Arial"/>
          <w:sz w:val="24"/>
          <w:szCs w:val="24"/>
        </w:rPr>
        <w:t xml:space="preserve">That the </w:t>
      </w:r>
      <w:r w:rsidR="00117C5C">
        <w:rPr>
          <w:rFonts w:ascii="Arial" w:hAnsi="Arial" w:cs="Arial"/>
          <w:sz w:val="24"/>
          <w:szCs w:val="24"/>
        </w:rPr>
        <w:t>Committee on the Rights of Persons with Disabilities provides guidance on inclusive education and what this looks like in practice.</w:t>
      </w:r>
      <w:r w:rsidR="00282C25">
        <w:rPr>
          <w:rFonts w:ascii="Arial" w:hAnsi="Arial" w:cs="Arial"/>
          <w:sz w:val="24"/>
          <w:szCs w:val="24"/>
        </w:rPr>
        <w:t xml:space="preserve"> Such guidance could also clarify the appropriate human rights principles and terminology.</w:t>
      </w:r>
    </w:p>
    <w:p w:rsidR="00D875A9" w:rsidRDefault="00F70084" w:rsidP="00FF31FD">
      <w:pPr>
        <w:pStyle w:val="ListParagraph"/>
        <w:numPr>
          <w:ilvl w:val="0"/>
          <w:numId w:val="2"/>
        </w:numPr>
        <w:spacing w:before="240" w:after="240"/>
        <w:ind w:hanging="578"/>
        <w:contextualSpacing w:val="0"/>
        <w:jc w:val="both"/>
        <w:rPr>
          <w:rFonts w:ascii="Arial" w:hAnsi="Arial" w:cs="Arial"/>
          <w:sz w:val="24"/>
          <w:szCs w:val="24"/>
        </w:rPr>
      </w:pPr>
      <w:r>
        <w:rPr>
          <w:rFonts w:ascii="Arial" w:hAnsi="Arial" w:cs="Arial"/>
          <w:sz w:val="24"/>
          <w:szCs w:val="24"/>
        </w:rPr>
        <w:t xml:space="preserve">That the Committee </w:t>
      </w:r>
      <w:proofErr w:type="gramStart"/>
      <w:r>
        <w:rPr>
          <w:rFonts w:ascii="Arial" w:hAnsi="Arial" w:cs="Arial"/>
          <w:sz w:val="24"/>
          <w:szCs w:val="24"/>
        </w:rPr>
        <w:t xml:space="preserve">provide </w:t>
      </w:r>
      <w:r w:rsidR="00D875A9">
        <w:rPr>
          <w:rFonts w:ascii="Arial" w:hAnsi="Arial" w:cs="Arial"/>
          <w:sz w:val="24"/>
          <w:szCs w:val="24"/>
        </w:rPr>
        <w:t xml:space="preserve"> definitions</w:t>
      </w:r>
      <w:proofErr w:type="gramEnd"/>
      <w:r w:rsidR="00D875A9">
        <w:rPr>
          <w:rFonts w:ascii="Arial" w:hAnsi="Arial" w:cs="Arial"/>
          <w:sz w:val="24"/>
          <w:szCs w:val="24"/>
        </w:rPr>
        <w:t xml:space="preserve"> of inclusive education, reasonable accommodation and clarify what measures are need</w:t>
      </w:r>
      <w:r>
        <w:rPr>
          <w:rFonts w:ascii="Arial" w:hAnsi="Arial" w:cs="Arial"/>
          <w:sz w:val="24"/>
          <w:szCs w:val="24"/>
        </w:rPr>
        <w:t>ed</w:t>
      </w:r>
      <w:r w:rsidR="00D875A9">
        <w:rPr>
          <w:rFonts w:ascii="Arial" w:hAnsi="Arial" w:cs="Arial"/>
          <w:sz w:val="24"/>
          <w:szCs w:val="24"/>
        </w:rPr>
        <w:t xml:space="preserve"> to ensure an enforceable right to education.</w:t>
      </w:r>
    </w:p>
    <w:p w:rsidR="00117C5C" w:rsidRDefault="00117C5C" w:rsidP="00FF31FD">
      <w:pPr>
        <w:jc w:val="both"/>
      </w:pPr>
      <w:r>
        <w:br w:type="page"/>
      </w:r>
    </w:p>
    <w:p w:rsidR="007B3496" w:rsidRDefault="00221D21" w:rsidP="00FF31FD">
      <w:pPr>
        <w:jc w:val="both"/>
        <w:rPr>
          <w:rFonts w:ascii="ArialMT" w:hAnsi="ArialMT" w:cs="ArialMT"/>
          <w:sz w:val="24"/>
          <w:szCs w:val="24"/>
        </w:rPr>
      </w:pPr>
      <w:r w:rsidRPr="00221D21">
        <w:rPr>
          <w:rFonts w:ascii="ArialMT" w:hAnsi="ArialMT" w:cs="ArialMT"/>
          <w:sz w:val="24"/>
          <w:szCs w:val="24"/>
        </w:rPr>
        <w:lastRenderedPageBreak/>
        <w:t>This submission is from</w:t>
      </w:r>
      <w:r>
        <w:rPr>
          <w:rFonts w:ascii="ArialMT" w:hAnsi="ArialMT" w:cs="ArialMT"/>
          <w:sz w:val="24"/>
          <w:szCs w:val="24"/>
        </w:rPr>
        <w:t>:</w:t>
      </w:r>
    </w:p>
    <w:p w:rsidR="00221D21" w:rsidRPr="00221D21" w:rsidRDefault="00221D21" w:rsidP="00FF31FD">
      <w:pPr>
        <w:jc w:val="both"/>
        <w:rPr>
          <w:rFonts w:ascii="ArialMT" w:hAnsi="ArialMT" w:cs="ArialMT"/>
          <w:sz w:val="24"/>
          <w:szCs w:val="24"/>
        </w:rPr>
      </w:pPr>
      <w:r w:rsidRPr="00221D21">
        <w:rPr>
          <w:rFonts w:ascii="ArialMT" w:hAnsi="ArialMT" w:cs="ArialMT"/>
          <w:sz w:val="24"/>
          <w:szCs w:val="24"/>
        </w:rPr>
        <w:t>The</w:t>
      </w:r>
      <w:r w:rsidR="00FF31FD">
        <w:rPr>
          <w:rFonts w:ascii="Arial Rounded MT Bold" w:hAnsi="Arial Rounded MT Bold" w:cs="Arial"/>
          <w:b/>
          <w:color w:val="2F5496" w:themeColor="accent5" w:themeShade="BF"/>
          <w:sz w:val="28"/>
          <w:szCs w:val="28"/>
        </w:rPr>
        <w:t xml:space="preserve"> Education for All N</w:t>
      </w:r>
      <w:r>
        <w:rPr>
          <w:rFonts w:ascii="Arial Rounded MT Bold" w:hAnsi="Arial Rounded MT Bold" w:cs="Arial"/>
          <w:b/>
          <w:color w:val="2F5496" w:themeColor="accent5" w:themeShade="BF"/>
          <w:sz w:val="28"/>
          <w:szCs w:val="28"/>
        </w:rPr>
        <w:t>etwork</w:t>
      </w:r>
      <w:r w:rsidRPr="00221D21">
        <w:rPr>
          <w:rFonts w:ascii="ArialMT" w:hAnsi="ArialMT" w:cs="ArialMT"/>
          <w:sz w:val="24"/>
          <w:szCs w:val="24"/>
        </w:rPr>
        <w:t>, which includes the following organisations:</w:t>
      </w:r>
    </w:p>
    <w:p w:rsidR="00221D21" w:rsidRDefault="00221D21" w:rsidP="00FF31FD">
      <w:pPr>
        <w:ind w:left="567"/>
        <w:jc w:val="both"/>
        <w:rPr>
          <w:rFonts w:ascii="ArialMT" w:hAnsi="ArialMT" w:cs="ArialMT"/>
          <w:sz w:val="24"/>
          <w:szCs w:val="24"/>
        </w:rPr>
      </w:pPr>
      <w:r w:rsidRPr="00221D21">
        <w:rPr>
          <w:rFonts w:ascii="ArialMT" w:hAnsi="ArialMT" w:cs="ArialMT"/>
          <w:sz w:val="24"/>
          <w:szCs w:val="24"/>
        </w:rPr>
        <w:t>Disabled Persons Assembly NZ Inc.</w:t>
      </w:r>
    </w:p>
    <w:p w:rsidR="00AE6F23" w:rsidRDefault="00AE6F23" w:rsidP="00FF31FD">
      <w:pPr>
        <w:ind w:left="567"/>
        <w:jc w:val="both"/>
        <w:rPr>
          <w:rFonts w:ascii="ArialMT" w:hAnsi="ArialMT" w:cs="ArialMT"/>
          <w:sz w:val="24"/>
          <w:szCs w:val="24"/>
        </w:rPr>
      </w:pPr>
      <w:r w:rsidRPr="00221D21">
        <w:rPr>
          <w:rFonts w:ascii="ArialMT" w:hAnsi="ArialMT" w:cs="ArialMT"/>
          <w:sz w:val="24"/>
          <w:szCs w:val="24"/>
        </w:rPr>
        <w:t>Association of Blind Citizens of New Zealand</w:t>
      </w:r>
    </w:p>
    <w:p w:rsidR="00201E43" w:rsidRPr="00221D21" w:rsidRDefault="00201E43" w:rsidP="00FF31FD">
      <w:pPr>
        <w:ind w:left="567"/>
        <w:jc w:val="both"/>
        <w:rPr>
          <w:rFonts w:ascii="ArialMT" w:hAnsi="ArialMT" w:cs="ArialMT"/>
          <w:sz w:val="24"/>
          <w:szCs w:val="24"/>
        </w:rPr>
      </w:pPr>
      <w:r>
        <w:rPr>
          <w:rFonts w:ascii="ArialMT" w:hAnsi="ArialMT" w:cs="ArialMT"/>
          <w:sz w:val="24"/>
          <w:szCs w:val="24"/>
        </w:rPr>
        <w:t>Bay of Plenty Down syndrome association</w:t>
      </w:r>
    </w:p>
    <w:p w:rsidR="00221D21" w:rsidRDefault="00221D21" w:rsidP="00FF31FD">
      <w:pPr>
        <w:ind w:left="567"/>
        <w:jc w:val="both"/>
        <w:rPr>
          <w:rFonts w:ascii="ArialMT" w:hAnsi="ArialMT" w:cs="ArialMT"/>
          <w:sz w:val="24"/>
          <w:szCs w:val="24"/>
        </w:rPr>
      </w:pPr>
      <w:r w:rsidRPr="00221D21">
        <w:rPr>
          <w:rFonts w:ascii="ArialMT" w:hAnsi="ArialMT" w:cs="ArialMT"/>
          <w:sz w:val="24"/>
          <w:szCs w:val="24"/>
        </w:rPr>
        <w:t xml:space="preserve">CCS Disability Action </w:t>
      </w:r>
    </w:p>
    <w:p w:rsidR="00AE6F23" w:rsidRPr="00221D21" w:rsidRDefault="00AE6F23" w:rsidP="00FF31FD">
      <w:pPr>
        <w:ind w:left="567"/>
        <w:jc w:val="both"/>
        <w:rPr>
          <w:rFonts w:ascii="ArialMT" w:hAnsi="ArialMT" w:cs="ArialMT"/>
          <w:sz w:val="24"/>
          <w:szCs w:val="24"/>
        </w:rPr>
      </w:pPr>
      <w:r w:rsidRPr="00221D21">
        <w:rPr>
          <w:rFonts w:ascii="ArialMT" w:hAnsi="ArialMT" w:cs="ArialMT"/>
          <w:sz w:val="24"/>
          <w:szCs w:val="24"/>
        </w:rPr>
        <w:t>Disability Support Services at Victoria University of Wellington</w:t>
      </w:r>
    </w:p>
    <w:p w:rsidR="00AE6F23" w:rsidRDefault="00221D21" w:rsidP="00FF31FD">
      <w:pPr>
        <w:ind w:left="567"/>
        <w:jc w:val="both"/>
        <w:rPr>
          <w:rFonts w:ascii="ArialMT" w:hAnsi="ArialMT" w:cs="ArialMT"/>
          <w:sz w:val="24"/>
          <w:szCs w:val="24"/>
        </w:rPr>
      </w:pPr>
      <w:r w:rsidRPr="00221D21">
        <w:rPr>
          <w:rFonts w:ascii="ArialMT" w:hAnsi="ArialMT" w:cs="ArialMT"/>
          <w:sz w:val="24"/>
          <w:szCs w:val="24"/>
        </w:rPr>
        <w:t xml:space="preserve">IHC NZ </w:t>
      </w:r>
      <w:proofErr w:type="spellStart"/>
      <w:r w:rsidRPr="00221D21">
        <w:rPr>
          <w:rFonts w:ascii="ArialMT" w:hAnsi="ArialMT" w:cs="ArialMT"/>
          <w:sz w:val="24"/>
          <w:szCs w:val="24"/>
        </w:rPr>
        <w:t>Inc</w:t>
      </w:r>
      <w:proofErr w:type="spellEnd"/>
    </w:p>
    <w:p w:rsidR="00221D21" w:rsidRPr="00221D21" w:rsidRDefault="00AE6F23" w:rsidP="00FF31FD">
      <w:pPr>
        <w:ind w:left="567"/>
        <w:jc w:val="both"/>
        <w:rPr>
          <w:rFonts w:ascii="ArialMT" w:hAnsi="ArialMT" w:cs="ArialMT"/>
          <w:sz w:val="24"/>
          <w:szCs w:val="24"/>
        </w:rPr>
      </w:pPr>
      <w:r w:rsidRPr="00221D21">
        <w:rPr>
          <w:rFonts w:ascii="ArialMT" w:hAnsi="ArialMT" w:cs="ArialMT"/>
          <w:sz w:val="24"/>
          <w:szCs w:val="24"/>
        </w:rPr>
        <w:t>Inclusive Educ</w:t>
      </w:r>
      <w:r>
        <w:rPr>
          <w:rFonts w:ascii="ArialMT" w:hAnsi="ArialMT" w:cs="ArialMT"/>
          <w:sz w:val="24"/>
          <w:szCs w:val="24"/>
        </w:rPr>
        <w:t>a</w:t>
      </w:r>
      <w:r w:rsidRPr="00221D21">
        <w:rPr>
          <w:rFonts w:ascii="ArialMT" w:hAnsi="ArialMT" w:cs="ArialMT"/>
          <w:sz w:val="24"/>
          <w:szCs w:val="24"/>
        </w:rPr>
        <w:t>tion Action Group</w:t>
      </w:r>
    </w:p>
    <w:p w:rsidR="00221D21" w:rsidRPr="00221D21" w:rsidRDefault="00221D21" w:rsidP="00FF31FD">
      <w:pPr>
        <w:ind w:left="567"/>
        <w:jc w:val="both"/>
        <w:rPr>
          <w:rFonts w:ascii="ArialMT" w:hAnsi="ArialMT" w:cs="ArialMT"/>
          <w:sz w:val="24"/>
          <w:szCs w:val="24"/>
        </w:rPr>
      </w:pPr>
      <w:r w:rsidRPr="00221D21">
        <w:rPr>
          <w:rFonts w:ascii="ArialMT" w:hAnsi="ArialMT" w:cs="ArialMT"/>
          <w:sz w:val="24"/>
          <w:szCs w:val="24"/>
        </w:rPr>
        <w:t>Inclusive New Zealand</w:t>
      </w:r>
    </w:p>
    <w:p w:rsidR="00221D21" w:rsidRPr="00221D21" w:rsidRDefault="00221D21" w:rsidP="00FF31FD">
      <w:pPr>
        <w:ind w:left="567"/>
        <w:jc w:val="both"/>
        <w:rPr>
          <w:rFonts w:ascii="ArialMT" w:hAnsi="ArialMT" w:cs="ArialMT"/>
          <w:sz w:val="24"/>
          <w:szCs w:val="24"/>
        </w:rPr>
      </w:pPr>
      <w:r w:rsidRPr="00221D21">
        <w:rPr>
          <w:rFonts w:ascii="ArialMT" w:hAnsi="ArialMT" w:cs="ArialMT"/>
          <w:sz w:val="24"/>
          <w:szCs w:val="24"/>
        </w:rPr>
        <w:t xml:space="preserve">People First NZ Inc., </w:t>
      </w:r>
      <w:proofErr w:type="spellStart"/>
      <w:r w:rsidRPr="00221D21">
        <w:rPr>
          <w:rFonts w:ascii="ArialMT" w:hAnsi="ArialMT" w:cs="ArialMT"/>
          <w:sz w:val="24"/>
          <w:szCs w:val="24"/>
        </w:rPr>
        <w:t>Ngā</w:t>
      </w:r>
      <w:proofErr w:type="spellEnd"/>
      <w:r w:rsidRPr="00221D21">
        <w:rPr>
          <w:rFonts w:ascii="ArialMT" w:hAnsi="ArialMT" w:cs="ArialMT"/>
          <w:sz w:val="24"/>
          <w:szCs w:val="24"/>
        </w:rPr>
        <w:t xml:space="preserve"> </w:t>
      </w:r>
      <w:proofErr w:type="spellStart"/>
      <w:r w:rsidRPr="00221D21">
        <w:rPr>
          <w:rFonts w:ascii="ArialMT" w:hAnsi="ArialMT" w:cs="ArialMT"/>
          <w:sz w:val="24"/>
          <w:szCs w:val="24"/>
        </w:rPr>
        <w:t>Tāngata</w:t>
      </w:r>
      <w:proofErr w:type="spellEnd"/>
      <w:r w:rsidRPr="00221D21">
        <w:rPr>
          <w:rFonts w:ascii="ArialMT" w:hAnsi="ArialMT" w:cs="ArialMT"/>
          <w:sz w:val="24"/>
          <w:szCs w:val="24"/>
        </w:rPr>
        <w:t xml:space="preserve"> </w:t>
      </w:r>
      <w:proofErr w:type="spellStart"/>
      <w:r w:rsidRPr="00221D21">
        <w:rPr>
          <w:rFonts w:ascii="ArialMT" w:hAnsi="ArialMT" w:cs="ArialMT"/>
          <w:sz w:val="24"/>
          <w:szCs w:val="24"/>
        </w:rPr>
        <w:t>Tuatahi</w:t>
      </w:r>
      <w:proofErr w:type="spellEnd"/>
      <w:r w:rsidRPr="00221D21">
        <w:rPr>
          <w:rFonts w:ascii="ArialMT" w:hAnsi="ArialMT" w:cs="ArialMT"/>
          <w:sz w:val="24"/>
          <w:szCs w:val="24"/>
        </w:rPr>
        <w:t xml:space="preserve"> </w:t>
      </w:r>
    </w:p>
    <w:p w:rsidR="00221D21" w:rsidRDefault="00221D21" w:rsidP="00FF31FD">
      <w:pPr>
        <w:ind w:left="567"/>
        <w:jc w:val="both"/>
        <w:rPr>
          <w:rFonts w:ascii="ArialMT" w:hAnsi="ArialMT" w:cs="ArialMT"/>
          <w:sz w:val="24"/>
          <w:szCs w:val="24"/>
        </w:rPr>
      </w:pPr>
      <w:r w:rsidRPr="00221D21">
        <w:rPr>
          <w:rFonts w:ascii="ArialMT" w:hAnsi="ArialMT" w:cs="ArialMT"/>
          <w:sz w:val="24"/>
          <w:szCs w:val="24"/>
        </w:rPr>
        <w:t>Parent to Parent</w:t>
      </w:r>
    </w:p>
    <w:p w:rsidR="00201E43" w:rsidRPr="00221D21" w:rsidRDefault="00201E43" w:rsidP="00FF31FD">
      <w:pPr>
        <w:ind w:left="567"/>
        <w:jc w:val="both"/>
        <w:rPr>
          <w:rFonts w:ascii="ArialMT" w:hAnsi="ArialMT" w:cs="ArialMT"/>
          <w:sz w:val="24"/>
          <w:szCs w:val="24"/>
        </w:rPr>
      </w:pPr>
      <w:proofErr w:type="spellStart"/>
      <w:r>
        <w:rPr>
          <w:rFonts w:ascii="ArialMT" w:hAnsi="ArialMT" w:cs="ArialMT"/>
          <w:sz w:val="24"/>
          <w:szCs w:val="24"/>
        </w:rPr>
        <w:t>Workbridge</w:t>
      </w:r>
      <w:proofErr w:type="spellEnd"/>
    </w:p>
    <w:p w:rsidR="00221D21" w:rsidRDefault="00221D21" w:rsidP="00FF31FD">
      <w:pPr>
        <w:ind w:left="567"/>
        <w:jc w:val="both"/>
        <w:rPr>
          <w:rFonts w:ascii="ArialMT" w:hAnsi="ArialMT" w:cs="ArialMT"/>
          <w:sz w:val="24"/>
          <w:szCs w:val="24"/>
        </w:rPr>
      </w:pPr>
    </w:p>
    <w:p w:rsidR="00221D21" w:rsidRPr="00221D21" w:rsidRDefault="00221D21" w:rsidP="00FF31FD">
      <w:pPr>
        <w:ind w:left="567"/>
        <w:jc w:val="both"/>
        <w:rPr>
          <w:rFonts w:ascii="ArialMT" w:hAnsi="ArialMT" w:cs="ArialMT"/>
          <w:sz w:val="24"/>
          <w:szCs w:val="24"/>
        </w:rPr>
      </w:pPr>
    </w:p>
    <w:p w:rsidR="00221D21" w:rsidRPr="00C01F9F" w:rsidRDefault="00221D21" w:rsidP="00FF31FD">
      <w:pPr>
        <w:jc w:val="both"/>
      </w:pPr>
    </w:p>
    <w:sectPr w:rsidR="00221D21" w:rsidRPr="00C01F9F" w:rsidSect="00EB7A2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85" w:rsidRDefault="00AF4E85" w:rsidP="00C01F9F">
      <w:pPr>
        <w:spacing w:after="0" w:line="240" w:lineRule="auto"/>
      </w:pPr>
      <w:r>
        <w:separator/>
      </w:r>
    </w:p>
  </w:endnote>
  <w:endnote w:type="continuationSeparator" w:id="0">
    <w:p w:rsidR="00AF4E85" w:rsidRDefault="00AF4E85" w:rsidP="00C01F9F">
      <w:pPr>
        <w:spacing w:after="0" w:line="240" w:lineRule="auto"/>
      </w:pPr>
      <w:r>
        <w:continuationSeparator/>
      </w:r>
    </w:p>
  </w:endnote>
  <w:endnote w:id="1">
    <w:p w:rsidR="00AE6F23" w:rsidRPr="0029478F" w:rsidRDefault="00AE6F23" w:rsidP="00FF31FD">
      <w:pPr>
        <w:pStyle w:val="EndnoteText"/>
        <w:spacing w:before="120" w:after="120"/>
        <w:ind w:left="284" w:hanging="142"/>
        <w:jc w:val="both"/>
        <w:rPr>
          <w:rFonts w:ascii="Arial" w:hAnsi="Arial" w:cs="Arial"/>
        </w:rPr>
      </w:pPr>
      <w:r w:rsidRPr="0029478F">
        <w:rPr>
          <w:rStyle w:val="EndnoteReference"/>
          <w:rFonts w:ascii="Arial" w:hAnsi="Arial" w:cs="Arial"/>
        </w:rPr>
        <w:endnoteRef/>
      </w:r>
      <w:r w:rsidRPr="0029478F">
        <w:rPr>
          <w:rFonts w:ascii="Arial" w:hAnsi="Arial" w:cs="Arial"/>
        </w:rPr>
        <w:t xml:space="preserve"> IHC, Education Complaint, accessed on 27</w:t>
      </w:r>
      <w:r w:rsidRPr="0029478F">
        <w:rPr>
          <w:rFonts w:ascii="Arial" w:hAnsi="Arial" w:cs="Arial"/>
          <w:vertAlign w:val="superscript"/>
        </w:rPr>
        <w:t>th</w:t>
      </w:r>
      <w:r w:rsidRPr="0029478F">
        <w:rPr>
          <w:rFonts w:ascii="Arial" w:hAnsi="Arial" w:cs="Arial"/>
        </w:rPr>
        <w:t xml:space="preserve"> February 2014 at: </w:t>
      </w:r>
      <w:hyperlink r:id="rId1" w:history="1">
        <w:r w:rsidRPr="0029478F">
          <w:rPr>
            <w:rStyle w:val="Hyperlink"/>
            <w:rFonts w:ascii="Arial" w:hAnsi="Arial" w:cs="Arial"/>
          </w:rPr>
          <w:t>http://www.ihc.org.nz/campaigns/education/education-complaint/</w:t>
        </w:r>
      </w:hyperlink>
      <w:r w:rsidRPr="0029478F">
        <w:rPr>
          <w:rFonts w:ascii="Arial" w:hAnsi="Arial" w:cs="Arial"/>
        </w:rPr>
        <w:t xml:space="preserve"> </w:t>
      </w:r>
    </w:p>
  </w:endnote>
  <w:endnote w:id="2">
    <w:p w:rsidR="00AE6F23" w:rsidRDefault="00AE6F23" w:rsidP="00FF31FD">
      <w:pPr>
        <w:pStyle w:val="EndnoteText"/>
        <w:ind w:left="284" w:hanging="142"/>
        <w:jc w:val="both"/>
        <w:rPr>
          <w:rFonts w:ascii="Arial" w:hAnsi="Arial" w:cs="Arial"/>
        </w:rPr>
      </w:pPr>
      <w:r>
        <w:rPr>
          <w:rStyle w:val="EndnoteReference"/>
        </w:rPr>
        <w:endnoteRef/>
      </w:r>
      <w:r>
        <w:t xml:space="preserve"> </w:t>
      </w:r>
      <w:proofErr w:type="gramStart"/>
      <w:r w:rsidRPr="0029478F">
        <w:rPr>
          <w:rFonts w:ascii="Arial" w:hAnsi="Arial" w:cs="Arial"/>
        </w:rPr>
        <w:t>New Zealand Human Rights Commission</w:t>
      </w:r>
      <w:r>
        <w:rPr>
          <w:rFonts w:ascii="Arial" w:hAnsi="Arial" w:cs="Arial"/>
        </w:rPr>
        <w:t>.</w:t>
      </w:r>
      <w:proofErr w:type="gramEnd"/>
      <w:r w:rsidRPr="0029478F">
        <w:rPr>
          <w:rFonts w:ascii="Arial" w:hAnsi="Arial" w:cs="Arial"/>
        </w:rPr>
        <w:t xml:space="preserve"> (2012)</w:t>
      </w:r>
      <w:r>
        <w:rPr>
          <w:rFonts w:ascii="Arial" w:hAnsi="Arial" w:cs="Arial"/>
        </w:rPr>
        <w:t>.</w:t>
      </w:r>
      <w:r w:rsidRPr="0029478F">
        <w:rPr>
          <w:rFonts w:ascii="Arial" w:hAnsi="Arial" w:cs="Arial"/>
        </w:rPr>
        <w:t xml:space="preserve"> “Making Disability Rights Real – </w:t>
      </w:r>
      <w:proofErr w:type="spellStart"/>
      <w:r w:rsidRPr="0029478F">
        <w:rPr>
          <w:rFonts w:ascii="Arial" w:hAnsi="Arial" w:cs="Arial"/>
        </w:rPr>
        <w:t>Whakatūturu</w:t>
      </w:r>
      <w:proofErr w:type="spellEnd"/>
      <w:r w:rsidRPr="0029478F">
        <w:rPr>
          <w:rFonts w:ascii="Arial" w:hAnsi="Arial" w:cs="Arial"/>
        </w:rPr>
        <w:t xml:space="preserve"> </w:t>
      </w:r>
      <w:proofErr w:type="spellStart"/>
      <w:r w:rsidRPr="0029478F">
        <w:rPr>
          <w:rFonts w:ascii="Arial" w:hAnsi="Arial" w:cs="Arial"/>
        </w:rPr>
        <w:t>ngā</w:t>
      </w:r>
      <w:proofErr w:type="spellEnd"/>
      <w:r w:rsidRPr="0029478F">
        <w:rPr>
          <w:rFonts w:ascii="Arial" w:hAnsi="Arial" w:cs="Arial"/>
        </w:rPr>
        <w:t xml:space="preserve"> </w:t>
      </w:r>
      <w:proofErr w:type="spellStart"/>
      <w:r w:rsidRPr="0029478F">
        <w:rPr>
          <w:rFonts w:ascii="Arial" w:hAnsi="Arial" w:cs="Arial"/>
        </w:rPr>
        <w:t>Tika</w:t>
      </w:r>
      <w:proofErr w:type="spellEnd"/>
      <w:r w:rsidRPr="0029478F">
        <w:rPr>
          <w:rFonts w:ascii="Arial" w:hAnsi="Arial" w:cs="Arial"/>
        </w:rPr>
        <w:t xml:space="preserve"> </w:t>
      </w:r>
      <w:proofErr w:type="spellStart"/>
      <w:r w:rsidRPr="0029478F">
        <w:rPr>
          <w:rFonts w:ascii="Arial" w:hAnsi="Arial" w:cs="Arial"/>
        </w:rPr>
        <w:t>Hauātanga</w:t>
      </w:r>
      <w:proofErr w:type="spellEnd"/>
      <w:r w:rsidRPr="0029478F">
        <w:rPr>
          <w:rFonts w:ascii="Arial" w:hAnsi="Arial" w:cs="Arial"/>
        </w:rPr>
        <w:t>: Annual report of the Independent Monitoring Mechanism of the Convention on the Rights of Persons with Disabiliti</w:t>
      </w:r>
      <w:r>
        <w:rPr>
          <w:rFonts w:ascii="Arial" w:hAnsi="Arial" w:cs="Arial"/>
        </w:rPr>
        <w:t>es.”1 July 2011 - 30 June 2012. P</w:t>
      </w:r>
      <w:r w:rsidRPr="0029478F">
        <w:rPr>
          <w:rFonts w:ascii="Arial" w:hAnsi="Arial" w:cs="Arial"/>
        </w:rPr>
        <w:t xml:space="preserve"> 69</w:t>
      </w:r>
    </w:p>
    <w:p w:rsidR="00AE6F23" w:rsidRDefault="00AE6F23" w:rsidP="00FF31FD">
      <w:pPr>
        <w:pStyle w:val="EndnoteText"/>
        <w:ind w:left="284" w:hanging="142"/>
        <w:jc w:val="both"/>
      </w:pPr>
    </w:p>
  </w:endnote>
  <w:endnote w:id="3">
    <w:p w:rsidR="00AE6F23" w:rsidRPr="000B302C" w:rsidRDefault="00AE6F23" w:rsidP="00FF31FD">
      <w:pPr>
        <w:pStyle w:val="EndnoteText"/>
        <w:ind w:left="357"/>
        <w:jc w:val="both"/>
      </w:pPr>
      <w:r>
        <w:t xml:space="preserve">    </w:t>
      </w:r>
      <w:r>
        <w:rPr>
          <w:rStyle w:val="EndnoteReference"/>
        </w:rPr>
        <w:endnoteRef/>
      </w:r>
      <w:r>
        <w:t xml:space="preserve">  </w:t>
      </w:r>
      <w:proofErr w:type="gramStart"/>
      <w:r>
        <w:t>Ministry of Education.</w:t>
      </w:r>
      <w:proofErr w:type="gramEnd"/>
      <w:r>
        <w:t xml:space="preserve"> (2013). </w:t>
      </w:r>
      <w:r w:rsidRPr="00CB5DF0">
        <w:rPr>
          <w:i/>
        </w:rPr>
        <w:t>Curriculum</w:t>
      </w:r>
      <w:r>
        <w:rPr>
          <w:i/>
        </w:rPr>
        <w:t xml:space="preserve"> and teaching and including inclusive education capability building project initiation document Pages 4-6. </w:t>
      </w:r>
      <w:proofErr w:type="spellStart"/>
      <w:r w:rsidRPr="000B302C">
        <w:t>Wellington</w:t>
      </w:r>
      <w:r>
        <w:t>:Ministry</w:t>
      </w:r>
      <w:proofErr w:type="spellEnd"/>
      <w:r>
        <w:t xml:space="preserve"> of Education</w:t>
      </w:r>
    </w:p>
  </w:endnote>
  <w:endnote w:id="4">
    <w:p w:rsidR="00AE6F23" w:rsidRDefault="00AE6F23" w:rsidP="00FF31FD">
      <w:pPr>
        <w:pStyle w:val="EndnoteText"/>
        <w:ind w:left="284" w:hanging="142"/>
        <w:jc w:val="both"/>
      </w:pPr>
      <w:r>
        <w:rPr>
          <w:rStyle w:val="EndnoteReference"/>
        </w:rPr>
        <w:endnoteRef/>
      </w:r>
      <w:r>
        <w:t xml:space="preserve"> </w:t>
      </w:r>
      <w:r w:rsidRPr="005B0EE9">
        <w:rPr>
          <w:rFonts w:ascii="Arial" w:hAnsi="Arial" w:cs="Arial"/>
          <w:noProof/>
        </w:rPr>
        <w:t xml:space="preserve">MacDonald, C., &amp; Gray, L. (2011). </w:t>
      </w:r>
      <w:r w:rsidRPr="005B0EE9">
        <w:rPr>
          <w:rFonts w:ascii="Arial" w:hAnsi="Arial" w:cs="Arial"/>
          <w:i/>
          <w:iCs/>
          <w:noProof/>
        </w:rPr>
        <w:t>Families Choices: Choosing Schools for Disabled Children.</w:t>
      </w:r>
      <w:r w:rsidRPr="005B0EE9">
        <w:rPr>
          <w:rFonts w:ascii="Arial" w:hAnsi="Arial" w:cs="Arial"/>
          <w:noProof/>
        </w:rPr>
        <w:t xml:space="preserve"> CCS Disability Action</w:t>
      </w:r>
      <w:r>
        <w:rPr>
          <w:rFonts w:ascii="Arial" w:hAnsi="Arial" w:cs="Arial"/>
          <w:noProof/>
        </w:rPr>
        <w:t>.</w:t>
      </w:r>
    </w:p>
  </w:endnote>
  <w:endnote w:id="5">
    <w:p w:rsidR="00AE6F23" w:rsidRDefault="00AE6F23" w:rsidP="00FF31FD">
      <w:pPr>
        <w:pStyle w:val="EndnoteText"/>
        <w:spacing w:before="120" w:after="120"/>
        <w:ind w:left="284" w:hanging="142"/>
        <w:jc w:val="both"/>
      </w:pPr>
      <w:r>
        <w:rPr>
          <w:rStyle w:val="EndnoteReference"/>
        </w:rPr>
        <w:endnoteRef/>
      </w:r>
      <w:r>
        <w:t xml:space="preserve"> </w:t>
      </w:r>
      <w:proofErr w:type="gramStart"/>
      <w:r w:rsidRPr="0029478F">
        <w:rPr>
          <w:rFonts w:ascii="Arial" w:hAnsi="Arial" w:cs="Arial"/>
        </w:rPr>
        <w:t>Human Rights Commission</w:t>
      </w:r>
      <w:r>
        <w:rPr>
          <w:rFonts w:ascii="Arial" w:hAnsi="Arial" w:cs="Arial"/>
        </w:rPr>
        <w:t>.</w:t>
      </w:r>
      <w:proofErr w:type="gramEnd"/>
      <w:r w:rsidRPr="0029478F">
        <w:rPr>
          <w:rFonts w:ascii="Arial" w:hAnsi="Arial" w:cs="Arial"/>
        </w:rPr>
        <w:t xml:space="preserve"> </w:t>
      </w:r>
      <w:proofErr w:type="gramStart"/>
      <w:r w:rsidRPr="0029478F">
        <w:rPr>
          <w:rFonts w:ascii="Arial" w:hAnsi="Arial" w:cs="Arial"/>
        </w:rPr>
        <w:t>(2013)</w:t>
      </w:r>
      <w:r>
        <w:rPr>
          <w:rFonts w:ascii="Arial" w:hAnsi="Arial" w:cs="Arial"/>
        </w:rPr>
        <w:t>.</w:t>
      </w:r>
      <w:r w:rsidRPr="0029478F">
        <w:rPr>
          <w:rFonts w:ascii="Arial" w:hAnsi="Arial" w:cs="Arial"/>
        </w:rPr>
        <w:t xml:space="preserve"> “A New Era in the Right to Sign.</w:t>
      </w:r>
      <w:proofErr w:type="gramEnd"/>
      <w:r w:rsidRPr="0029478F">
        <w:rPr>
          <w:rFonts w:ascii="Arial" w:hAnsi="Arial" w:cs="Arial"/>
        </w:rPr>
        <w:t xml:space="preserve"> </w:t>
      </w:r>
      <w:proofErr w:type="gramStart"/>
      <w:r w:rsidRPr="0029478F">
        <w:rPr>
          <w:rFonts w:ascii="Arial" w:hAnsi="Arial" w:cs="Arial"/>
        </w:rPr>
        <w:t>He</w:t>
      </w:r>
      <w:proofErr w:type="gramEnd"/>
      <w:r w:rsidRPr="0029478F">
        <w:rPr>
          <w:rFonts w:ascii="Arial" w:hAnsi="Arial" w:cs="Arial"/>
        </w:rPr>
        <w:t xml:space="preserve"> </w:t>
      </w:r>
      <w:proofErr w:type="spellStart"/>
      <w:r w:rsidRPr="0029478F">
        <w:rPr>
          <w:rFonts w:ascii="Arial" w:hAnsi="Arial" w:cs="Arial"/>
        </w:rPr>
        <w:t>Houhanga</w:t>
      </w:r>
      <w:proofErr w:type="spellEnd"/>
      <w:r w:rsidRPr="0029478F">
        <w:rPr>
          <w:rFonts w:ascii="Arial" w:hAnsi="Arial" w:cs="Arial"/>
        </w:rPr>
        <w:t xml:space="preserve"> </w:t>
      </w:r>
      <w:proofErr w:type="spellStart"/>
      <w:r w:rsidRPr="0029478F">
        <w:rPr>
          <w:rFonts w:ascii="Arial" w:hAnsi="Arial" w:cs="Arial"/>
        </w:rPr>
        <w:t>Rongo</w:t>
      </w:r>
      <w:proofErr w:type="spellEnd"/>
      <w:r w:rsidRPr="0029478F">
        <w:rPr>
          <w:rFonts w:ascii="Arial" w:hAnsi="Arial" w:cs="Arial"/>
        </w:rPr>
        <w:t xml:space="preserve"> </w:t>
      </w:r>
      <w:proofErr w:type="spellStart"/>
      <w:r w:rsidRPr="0029478F">
        <w:rPr>
          <w:rFonts w:ascii="Arial" w:hAnsi="Arial" w:cs="Arial"/>
        </w:rPr>
        <w:t>te</w:t>
      </w:r>
      <w:proofErr w:type="spellEnd"/>
      <w:r w:rsidRPr="0029478F">
        <w:rPr>
          <w:rFonts w:ascii="Arial" w:hAnsi="Arial" w:cs="Arial"/>
        </w:rPr>
        <w:t xml:space="preserve"> </w:t>
      </w:r>
      <w:proofErr w:type="spellStart"/>
      <w:r w:rsidRPr="0029478F">
        <w:rPr>
          <w:rFonts w:ascii="Arial" w:hAnsi="Arial" w:cs="Arial"/>
        </w:rPr>
        <w:t>Tika</w:t>
      </w:r>
      <w:proofErr w:type="spellEnd"/>
      <w:r w:rsidRPr="0029478F">
        <w:rPr>
          <w:rFonts w:ascii="Arial" w:hAnsi="Arial" w:cs="Arial"/>
        </w:rPr>
        <w:t xml:space="preserve"> Ki </w:t>
      </w:r>
      <w:proofErr w:type="spellStart"/>
      <w:r w:rsidRPr="0029478F">
        <w:rPr>
          <w:rFonts w:ascii="Arial" w:hAnsi="Arial" w:cs="Arial"/>
        </w:rPr>
        <w:t>Te</w:t>
      </w:r>
      <w:proofErr w:type="spellEnd"/>
      <w:r w:rsidRPr="0029478F">
        <w:rPr>
          <w:rFonts w:ascii="Arial" w:hAnsi="Arial" w:cs="Arial"/>
        </w:rPr>
        <w:t xml:space="preserve"> Reo </w:t>
      </w:r>
      <w:proofErr w:type="spellStart"/>
      <w:r w:rsidRPr="0029478F">
        <w:rPr>
          <w:rFonts w:ascii="Arial" w:hAnsi="Arial" w:cs="Arial"/>
        </w:rPr>
        <w:t>Turi</w:t>
      </w:r>
      <w:proofErr w:type="spellEnd"/>
      <w:r w:rsidRPr="0029478F">
        <w:rPr>
          <w:rFonts w:ascii="Arial" w:hAnsi="Arial" w:cs="Arial"/>
        </w:rPr>
        <w:t>: Report of the New Zealand Sign Langu</w:t>
      </w:r>
      <w:r>
        <w:rPr>
          <w:rFonts w:ascii="Arial" w:hAnsi="Arial" w:cs="Arial"/>
        </w:rPr>
        <w:t xml:space="preserve">age Inquiry.” (September 2013). </w:t>
      </w:r>
      <w:proofErr w:type="gramStart"/>
      <w:r>
        <w:rPr>
          <w:rFonts w:ascii="Arial" w:hAnsi="Arial" w:cs="Arial"/>
        </w:rPr>
        <w:t>P 43.</w:t>
      </w:r>
      <w:proofErr w:type="gramEnd"/>
    </w:p>
  </w:endnote>
  <w:endnote w:id="6">
    <w:p w:rsidR="00AE6F23" w:rsidRPr="0029478F" w:rsidRDefault="00AE6F23" w:rsidP="00FF31FD">
      <w:pPr>
        <w:pStyle w:val="EndnoteText"/>
        <w:spacing w:before="120" w:after="120"/>
        <w:ind w:left="284" w:hanging="142"/>
        <w:jc w:val="both"/>
        <w:rPr>
          <w:rFonts w:ascii="Arial" w:hAnsi="Arial" w:cs="Arial"/>
        </w:rPr>
      </w:pPr>
      <w:r w:rsidRPr="0029478F">
        <w:rPr>
          <w:rStyle w:val="EndnoteReference"/>
          <w:rFonts w:ascii="Arial" w:hAnsi="Arial" w:cs="Arial"/>
        </w:rPr>
        <w:endnoteRef/>
      </w:r>
      <w:r w:rsidRPr="0029478F">
        <w:rPr>
          <w:rFonts w:ascii="Arial" w:hAnsi="Arial" w:cs="Arial"/>
        </w:rPr>
        <w:t xml:space="preserve"> </w:t>
      </w:r>
      <w:proofErr w:type="gramStart"/>
      <w:r w:rsidRPr="0029478F">
        <w:rPr>
          <w:rFonts w:ascii="Arial" w:hAnsi="Arial" w:cs="Arial"/>
        </w:rPr>
        <w:t>New Zealand Human Rights Commission</w:t>
      </w:r>
      <w:r>
        <w:rPr>
          <w:rFonts w:ascii="Arial" w:hAnsi="Arial" w:cs="Arial"/>
        </w:rPr>
        <w:t>.</w:t>
      </w:r>
      <w:proofErr w:type="gramEnd"/>
      <w:r w:rsidRPr="0029478F">
        <w:rPr>
          <w:rFonts w:ascii="Arial" w:hAnsi="Arial" w:cs="Arial"/>
        </w:rPr>
        <w:t xml:space="preserve"> (2012)</w:t>
      </w:r>
      <w:r>
        <w:rPr>
          <w:rFonts w:ascii="Arial" w:hAnsi="Arial" w:cs="Arial"/>
        </w:rPr>
        <w:t>.</w:t>
      </w:r>
      <w:r w:rsidRPr="0029478F">
        <w:rPr>
          <w:rFonts w:ascii="Arial" w:hAnsi="Arial" w:cs="Arial"/>
        </w:rPr>
        <w:t xml:space="preserve"> “Making Disability Rights Real – </w:t>
      </w:r>
      <w:proofErr w:type="spellStart"/>
      <w:r w:rsidRPr="0029478F">
        <w:rPr>
          <w:rFonts w:ascii="Arial" w:hAnsi="Arial" w:cs="Arial"/>
        </w:rPr>
        <w:t>Whakatūturu</w:t>
      </w:r>
      <w:proofErr w:type="spellEnd"/>
      <w:r w:rsidRPr="0029478F">
        <w:rPr>
          <w:rFonts w:ascii="Arial" w:hAnsi="Arial" w:cs="Arial"/>
        </w:rPr>
        <w:t xml:space="preserve"> </w:t>
      </w:r>
      <w:proofErr w:type="spellStart"/>
      <w:r w:rsidRPr="0029478F">
        <w:rPr>
          <w:rFonts w:ascii="Arial" w:hAnsi="Arial" w:cs="Arial"/>
        </w:rPr>
        <w:t>ngā</w:t>
      </w:r>
      <w:proofErr w:type="spellEnd"/>
      <w:r w:rsidRPr="0029478F">
        <w:rPr>
          <w:rFonts w:ascii="Arial" w:hAnsi="Arial" w:cs="Arial"/>
        </w:rPr>
        <w:t xml:space="preserve"> </w:t>
      </w:r>
      <w:proofErr w:type="spellStart"/>
      <w:r w:rsidRPr="0029478F">
        <w:rPr>
          <w:rFonts w:ascii="Arial" w:hAnsi="Arial" w:cs="Arial"/>
        </w:rPr>
        <w:t>Tika</w:t>
      </w:r>
      <w:proofErr w:type="spellEnd"/>
      <w:r w:rsidRPr="0029478F">
        <w:rPr>
          <w:rFonts w:ascii="Arial" w:hAnsi="Arial" w:cs="Arial"/>
        </w:rPr>
        <w:t xml:space="preserve"> </w:t>
      </w:r>
      <w:proofErr w:type="spellStart"/>
      <w:r w:rsidRPr="0029478F">
        <w:rPr>
          <w:rFonts w:ascii="Arial" w:hAnsi="Arial" w:cs="Arial"/>
        </w:rPr>
        <w:t>Hauātanga</w:t>
      </w:r>
      <w:proofErr w:type="spellEnd"/>
      <w:r w:rsidRPr="0029478F">
        <w:rPr>
          <w:rFonts w:ascii="Arial" w:hAnsi="Arial" w:cs="Arial"/>
        </w:rPr>
        <w:t>: Annual report of the Independent Monitoring Mechanism of the Convention on the Rights of Persons with Disabiliti</w:t>
      </w:r>
      <w:r>
        <w:rPr>
          <w:rFonts w:ascii="Arial" w:hAnsi="Arial" w:cs="Arial"/>
        </w:rPr>
        <w:t xml:space="preserve">es.” 1 July 2011 - 30 June 2012. </w:t>
      </w:r>
      <w:proofErr w:type="gramStart"/>
      <w:r>
        <w:rPr>
          <w:rFonts w:ascii="Arial" w:hAnsi="Arial" w:cs="Arial"/>
        </w:rPr>
        <w:t>P</w:t>
      </w:r>
      <w:r w:rsidRPr="0029478F">
        <w:rPr>
          <w:rFonts w:ascii="Arial" w:hAnsi="Arial" w:cs="Arial"/>
        </w:rPr>
        <w:t xml:space="preserve"> 20, 21 &amp; 69.</w:t>
      </w:r>
      <w:proofErr w:type="gramEnd"/>
    </w:p>
  </w:endnote>
  <w:endnote w:id="7">
    <w:p w:rsidR="00AE6F23" w:rsidRPr="005D33E1" w:rsidRDefault="00AE6F23" w:rsidP="00FF31FD">
      <w:pPr>
        <w:pStyle w:val="EndnoteText"/>
        <w:spacing w:before="120" w:after="120"/>
        <w:ind w:left="284" w:hanging="142"/>
        <w:jc w:val="both"/>
        <w:rPr>
          <w:lang w:val="en-US"/>
        </w:rPr>
      </w:pPr>
      <w:r>
        <w:rPr>
          <w:rStyle w:val="EndnoteReference"/>
        </w:rPr>
        <w:endnoteRef/>
      </w:r>
      <w:r>
        <w:t xml:space="preserve"> </w:t>
      </w:r>
      <w:proofErr w:type="gramStart"/>
      <w:r w:rsidRPr="00EA1B76">
        <w:rPr>
          <w:rFonts w:ascii="Arial" w:hAnsi="Arial" w:cs="Arial"/>
        </w:rPr>
        <w:t>Human Rights Commission</w:t>
      </w:r>
      <w:r>
        <w:rPr>
          <w:rFonts w:ascii="Arial" w:hAnsi="Arial" w:cs="Arial"/>
        </w:rPr>
        <w:t>.</w:t>
      </w:r>
      <w:proofErr w:type="gramEnd"/>
      <w:r w:rsidRPr="00EA1B76">
        <w:rPr>
          <w:rFonts w:ascii="Arial" w:hAnsi="Arial" w:cs="Arial"/>
        </w:rPr>
        <w:t xml:space="preserve"> (20</w:t>
      </w:r>
      <w:r>
        <w:rPr>
          <w:rFonts w:ascii="Arial" w:hAnsi="Arial" w:cs="Arial"/>
        </w:rPr>
        <w:t>14</w:t>
      </w:r>
      <w:r w:rsidRPr="00EA1B76">
        <w:rPr>
          <w:rFonts w:ascii="Arial" w:hAnsi="Arial" w:cs="Arial"/>
        </w:rPr>
        <w:t>)</w:t>
      </w:r>
      <w:r>
        <w:rPr>
          <w:rFonts w:ascii="Arial" w:hAnsi="Arial" w:cs="Arial"/>
        </w:rPr>
        <w:t>.</w:t>
      </w:r>
      <w:r w:rsidRPr="00EA1B76">
        <w:rPr>
          <w:rFonts w:ascii="Arial" w:hAnsi="Arial" w:cs="Arial"/>
        </w:rPr>
        <w:t xml:space="preserve"> “Making Disability Rights Real </w:t>
      </w:r>
      <w:proofErr w:type="spellStart"/>
      <w:r w:rsidRPr="00EA1B76">
        <w:rPr>
          <w:rFonts w:ascii="Arial" w:hAnsi="Arial" w:cs="Arial"/>
        </w:rPr>
        <w:t>Wh</w:t>
      </w:r>
      <w:r>
        <w:rPr>
          <w:rFonts w:ascii="Arial" w:hAnsi="Arial" w:cs="Arial"/>
        </w:rPr>
        <w:t>a</w:t>
      </w:r>
      <w:r w:rsidRPr="00EA1B76">
        <w:rPr>
          <w:rFonts w:ascii="Arial" w:hAnsi="Arial" w:cs="Arial"/>
        </w:rPr>
        <w:t>katūturu</w:t>
      </w:r>
      <w:proofErr w:type="spellEnd"/>
      <w:r w:rsidRPr="00EA1B76">
        <w:rPr>
          <w:rFonts w:ascii="Arial" w:hAnsi="Arial" w:cs="Arial"/>
        </w:rPr>
        <w:t xml:space="preserve"> </w:t>
      </w:r>
      <w:proofErr w:type="spellStart"/>
      <w:r w:rsidRPr="00EA1B76">
        <w:rPr>
          <w:rFonts w:ascii="Arial" w:hAnsi="Arial" w:cs="Arial"/>
        </w:rPr>
        <w:t>ngā</w:t>
      </w:r>
      <w:proofErr w:type="spellEnd"/>
      <w:r w:rsidRPr="00EA1B76">
        <w:rPr>
          <w:rFonts w:ascii="Arial" w:hAnsi="Arial" w:cs="Arial"/>
        </w:rPr>
        <w:t xml:space="preserve"> </w:t>
      </w:r>
      <w:proofErr w:type="spellStart"/>
      <w:r w:rsidRPr="00EA1B76">
        <w:rPr>
          <w:rFonts w:ascii="Arial" w:hAnsi="Arial" w:cs="Arial"/>
        </w:rPr>
        <w:t>Tika</w:t>
      </w:r>
      <w:proofErr w:type="spellEnd"/>
      <w:r w:rsidRPr="00EA1B76">
        <w:rPr>
          <w:rFonts w:ascii="Arial" w:hAnsi="Arial" w:cs="Arial"/>
        </w:rPr>
        <w:t xml:space="preserve"> </w:t>
      </w:r>
      <w:proofErr w:type="spellStart"/>
      <w:r w:rsidRPr="00EA1B76">
        <w:rPr>
          <w:rFonts w:ascii="Arial" w:hAnsi="Arial" w:cs="Arial"/>
        </w:rPr>
        <w:t>Hauātanga</w:t>
      </w:r>
      <w:proofErr w:type="spellEnd"/>
      <w:r w:rsidRPr="00EA1B76">
        <w:rPr>
          <w:rFonts w:ascii="Arial" w:hAnsi="Arial" w:cs="Arial"/>
        </w:rPr>
        <w:t xml:space="preserve">: </w:t>
      </w:r>
      <w:r>
        <w:rPr>
          <w:rFonts w:ascii="Arial" w:hAnsi="Arial" w:cs="Arial"/>
        </w:rPr>
        <w:t xml:space="preserve">Second </w:t>
      </w:r>
      <w:r w:rsidRPr="00EA1B76">
        <w:rPr>
          <w:rFonts w:ascii="Arial" w:hAnsi="Arial" w:cs="Arial"/>
        </w:rPr>
        <w:t>Report of the Independent Monitoring Mechanism of the Convention on the Rights of Persons with Disabilities</w:t>
      </w:r>
      <w:r>
        <w:rPr>
          <w:rFonts w:ascii="Arial" w:hAnsi="Arial" w:cs="Arial"/>
        </w:rPr>
        <w:t xml:space="preserve">. </w:t>
      </w:r>
      <w:proofErr w:type="spellStart"/>
      <w:proofErr w:type="gramStart"/>
      <w:r>
        <w:rPr>
          <w:rFonts w:ascii="Arial" w:hAnsi="Arial" w:cs="Arial"/>
        </w:rPr>
        <w:t>Aotearoa</w:t>
      </w:r>
      <w:proofErr w:type="spellEnd"/>
      <w:r>
        <w:rPr>
          <w:rFonts w:ascii="Arial" w:hAnsi="Arial" w:cs="Arial"/>
        </w:rPr>
        <w:t xml:space="preserve"> New Zealand.</w:t>
      </w:r>
      <w:proofErr w:type="gramEnd"/>
      <w:r>
        <w:rPr>
          <w:rFonts w:ascii="Arial" w:hAnsi="Arial" w:cs="Arial"/>
        </w:rPr>
        <w:t xml:space="preserve"> July 2012 - December 2013.” </w:t>
      </w:r>
      <w:proofErr w:type="gramStart"/>
      <w:r>
        <w:rPr>
          <w:rFonts w:ascii="Arial" w:hAnsi="Arial" w:cs="Arial"/>
        </w:rPr>
        <w:t>P 22.</w:t>
      </w:r>
      <w:proofErr w:type="gramEnd"/>
    </w:p>
  </w:endnote>
  <w:endnote w:id="8">
    <w:p w:rsidR="00AE6F23" w:rsidRPr="0029478F" w:rsidRDefault="00AE6F23" w:rsidP="00FF31FD">
      <w:pPr>
        <w:pStyle w:val="EndnoteText"/>
        <w:spacing w:before="120" w:after="120"/>
        <w:ind w:left="284" w:hanging="142"/>
        <w:jc w:val="both"/>
        <w:rPr>
          <w:rFonts w:ascii="Arial" w:hAnsi="Arial" w:cs="Arial"/>
        </w:rPr>
      </w:pPr>
      <w:r w:rsidRPr="0029478F">
        <w:rPr>
          <w:rStyle w:val="EndnoteReference"/>
          <w:rFonts w:ascii="Arial" w:hAnsi="Arial" w:cs="Arial"/>
        </w:rPr>
        <w:endnoteRef/>
      </w:r>
      <w:r>
        <w:rPr>
          <w:rFonts w:ascii="Arial" w:hAnsi="Arial" w:cs="Arial"/>
        </w:rPr>
        <w:t xml:space="preserve"> </w:t>
      </w:r>
      <w:proofErr w:type="gramStart"/>
      <w:r w:rsidRPr="0029478F">
        <w:rPr>
          <w:rFonts w:ascii="Arial" w:hAnsi="Arial" w:cs="Arial"/>
        </w:rPr>
        <w:t>New Zealand Human Rights Commission</w:t>
      </w:r>
      <w:r>
        <w:rPr>
          <w:rFonts w:ascii="Arial" w:hAnsi="Arial" w:cs="Arial"/>
        </w:rPr>
        <w:t>.</w:t>
      </w:r>
      <w:proofErr w:type="gramEnd"/>
      <w:r w:rsidRPr="0029478F">
        <w:rPr>
          <w:rFonts w:ascii="Arial" w:hAnsi="Arial" w:cs="Arial"/>
        </w:rPr>
        <w:t xml:space="preserve"> (2012)</w:t>
      </w:r>
      <w:r>
        <w:rPr>
          <w:rFonts w:ascii="Arial" w:hAnsi="Arial" w:cs="Arial"/>
        </w:rPr>
        <w:t>.</w:t>
      </w:r>
      <w:r w:rsidRPr="0029478F">
        <w:rPr>
          <w:rFonts w:ascii="Arial" w:hAnsi="Arial" w:cs="Arial"/>
        </w:rPr>
        <w:t xml:space="preserve"> “Making Disability Rights Real – </w:t>
      </w:r>
      <w:proofErr w:type="spellStart"/>
      <w:r w:rsidRPr="0029478F">
        <w:rPr>
          <w:rFonts w:ascii="Arial" w:hAnsi="Arial" w:cs="Arial"/>
        </w:rPr>
        <w:t>Whakatūturu</w:t>
      </w:r>
      <w:proofErr w:type="spellEnd"/>
      <w:r w:rsidRPr="0029478F">
        <w:rPr>
          <w:rFonts w:ascii="Arial" w:hAnsi="Arial" w:cs="Arial"/>
        </w:rPr>
        <w:t xml:space="preserve"> </w:t>
      </w:r>
      <w:proofErr w:type="spellStart"/>
      <w:r w:rsidRPr="0029478F">
        <w:rPr>
          <w:rFonts w:ascii="Arial" w:hAnsi="Arial" w:cs="Arial"/>
        </w:rPr>
        <w:t>ngā</w:t>
      </w:r>
      <w:proofErr w:type="spellEnd"/>
      <w:r w:rsidRPr="0029478F">
        <w:rPr>
          <w:rFonts w:ascii="Arial" w:hAnsi="Arial" w:cs="Arial"/>
        </w:rPr>
        <w:t xml:space="preserve"> </w:t>
      </w:r>
      <w:proofErr w:type="spellStart"/>
      <w:r w:rsidRPr="0029478F">
        <w:rPr>
          <w:rFonts w:ascii="Arial" w:hAnsi="Arial" w:cs="Arial"/>
        </w:rPr>
        <w:t>Tika</w:t>
      </w:r>
      <w:proofErr w:type="spellEnd"/>
      <w:r w:rsidRPr="0029478F">
        <w:rPr>
          <w:rFonts w:ascii="Arial" w:hAnsi="Arial" w:cs="Arial"/>
        </w:rPr>
        <w:t xml:space="preserve"> </w:t>
      </w:r>
      <w:proofErr w:type="spellStart"/>
      <w:r w:rsidRPr="0029478F">
        <w:rPr>
          <w:rFonts w:ascii="Arial" w:hAnsi="Arial" w:cs="Arial"/>
        </w:rPr>
        <w:t>Hauātanga</w:t>
      </w:r>
      <w:proofErr w:type="spellEnd"/>
      <w:r w:rsidRPr="0029478F">
        <w:rPr>
          <w:rFonts w:ascii="Arial" w:hAnsi="Arial" w:cs="Arial"/>
        </w:rPr>
        <w:t>: Annual report of the Independent Monitoring Mechanism of the Convention on the Rights of Persons with Disabiliti</w:t>
      </w:r>
      <w:r>
        <w:rPr>
          <w:rFonts w:ascii="Arial" w:hAnsi="Arial" w:cs="Arial"/>
        </w:rPr>
        <w:t xml:space="preserve">es.” 1 July 2011 - 30 June 2012. </w:t>
      </w:r>
      <w:proofErr w:type="gramStart"/>
      <w:r>
        <w:rPr>
          <w:rFonts w:ascii="Arial" w:hAnsi="Arial" w:cs="Arial"/>
        </w:rPr>
        <w:t>P</w:t>
      </w:r>
      <w:r w:rsidRPr="0029478F">
        <w:rPr>
          <w:rFonts w:ascii="Arial" w:hAnsi="Arial" w:cs="Arial"/>
        </w:rPr>
        <w:t xml:space="preserve"> 64</w:t>
      </w:r>
      <w:r>
        <w:rPr>
          <w:rFonts w:ascii="Arial" w:hAnsi="Arial" w:cs="Arial"/>
        </w:rPr>
        <w:t xml:space="preserve"> &amp; 65</w:t>
      </w:r>
      <w:r w:rsidRPr="0029478F">
        <w:rPr>
          <w:rFonts w:ascii="Arial" w:hAnsi="Arial" w:cs="Arial"/>
        </w:rPr>
        <w:t>.</w:t>
      </w:r>
      <w:proofErr w:type="gramEnd"/>
    </w:p>
  </w:endnote>
  <w:endnote w:id="9">
    <w:p w:rsidR="00201E43" w:rsidRDefault="00AE6F23" w:rsidP="00201E43">
      <w:pPr>
        <w:pStyle w:val="PlainText"/>
      </w:pPr>
      <w:r>
        <w:t xml:space="preserve"> </w:t>
      </w:r>
      <w:r>
        <w:rPr>
          <w:rStyle w:val="EndnoteReference"/>
        </w:rPr>
        <w:endnoteRef/>
      </w:r>
      <w:r w:rsidR="00201E43">
        <w:t xml:space="preserve">  </w:t>
      </w:r>
      <w:r w:rsidR="00201E43" w:rsidRPr="00201E43">
        <w:rPr>
          <w:rFonts w:ascii="Arial" w:hAnsi="Arial" w:cs="Arial"/>
          <w:sz w:val="20"/>
          <w:szCs w:val="20"/>
        </w:rPr>
        <w:t>A v Hutchinson [2014] NZHC 253</w:t>
      </w:r>
      <w:r w:rsidR="00201E43">
        <w:t xml:space="preserve">  </w:t>
      </w:r>
    </w:p>
    <w:p w:rsidR="00AE6F23" w:rsidRDefault="00AE6F23" w:rsidP="00FF31FD">
      <w:pPr>
        <w:pStyle w:val="EndnoteText"/>
        <w:ind w:left="357"/>
        <w:jc w:val="both"/>
      </w:pPr>
    </w:p>
  </w:endnote>
  <w:endnote w:id="10">
    <w:p w:rsidR="00AE6F23" w:rsidRDefault="00AE6F23" w:rsidP="00FF31FD">
      <w:pPr>
        <w:pStyle w:val="EndnoteText"/>
        <w:ind w:left="284" w:hanging="142"/>
        <w:jc w:val="both"/>
      </w:pPr>
      <w:r>
        <w:rPr>
          <w:rStyle w:val="EndnoteReference"/>
        </w:rPr>
        <w:endnoteRef/>
      </w:r>
      <w:r>
        <w:t xml:space="preserve"> </w:t>
      </w:r>
      <w:proofErr w:type="gramStart"/>
      <w:r w:rsidRPr="0029478F">
        <w:rPr>
          <w:rFonts w:ascii="Arial" w:hAnsi="Arial" w:cs="Arial"/>
        </w:rPr>
        <w:t>New Zealand Human Rights Commission</w:t>
      </w:r>
      <w:r>
        <w:rPr>
          <w:rFonts w:ascii="Arial" w:hAnsi="Arial" w:cs="Arial"/>
        </w:rPr>
        <w:t>.</w:t>
      </w:r>
      <w:proofErr w:type="gramEnd"/>
      <w:r w:rsidRPr="0029478F">
        <w:rPr>
          <w:rFonts w:ascii="Arial" w:hAnsi="Arial" w:cs="Arial"/>
        </w:rPr>
        <w:t xml:space="preserve"> (2012)</w:t>
      </w:r>
      <w:r>
        <w:rPr>
          <w:rFonts w:ascii="Arial" w:hAnsi="Arial" w:cs="Arial"/>
        </w:rPr>
        <w:t>.</w:t>
      </w:r>
      <w:r w:rsidRPr="0029478F">
        <w:rPr>
          <w:rFonts w:ascii="Arial" w:hAnsi="Arial" w:cs="Arial"/>
        </w:rPr>
        <w:t xml:space="preserve"> “Making Disability Rights Real – </w:t>
      </w:r>
      <w:proofErr w:type="spellStart"/>
      <w:r w:rsidRPr="0029478F">
        <w:rPr>
          <w:rFonts w:ascii="Arial" w:hAnsi="Arial" w:cs="Arial"/>
        </w:rPr>
        <w:t>Whakatūturu</w:t>
      </w:r>
      <w:proofErr w:type="spellEnd"/>
      <w:r w:rsidRPr="0029478F">
        <w:rPr>
          <w:rFonts w:ascii="Arial" w:hAnsi="Arial" w:cs="Arial"/>
        </w:rPr>
        <w:t xml:space="preserve"> </w:t>
      </w:r>
      <w:proofErr w:type="spellStart"/>
      <w:r w:rsidRPr="0029478F">
        <w:rPr>
          <w:rFonts w:ascii="Arial" w:hAnsi="Arial" w:cs="Arial"/>
        </w:rPr>
        <w:t>ngā</w:t>
      </w:r>
      <w:proofErr w:type="spellEnd"/>
      <w:r w:rsidRPr="0029478F">
        <w:rPr>
          <w:rFonts w:ascii="Arial" w:hAnsi="Arial" w:cs="Arial"/>
        </w:rPr>
        <w:t xml:space="preserve"> </w:t>
      </w:r>
      <w:proofErr w:type="spellStart"/>
      <w:r w:rsidRPr="0029478F">
        <w:rPr>
          <w:rFonts w:ascii="Arial" w:hAnsi="Arial" w:cs="Arial"/>
        </w:rPr>
        <w:t>Tika</w:t>
      </w:r>
      <w:proofErr w:type="spellEnd"/>
      <w:r w:rsidRPr="0029478F">
        <w:rPr>
          <w:rFonts w:ascii="Arial" w:hAnsi="Arial" w:cs="Arial"/>
        </w:rPr>
        <w:t xml:space="preserve"> </w:t>
      </w:r>
      <w:proofErr w:type="spellStart"/>
      <w:r w:rsidRPr="0029478F">
        <w:rPr>
          <w:rFonts w:ascii="Arial" w:hAnsi="Arial" w:cs="Arial"/>
        </w:rPr>
        <w:t>Hauātanga</w:t>
      </w:r>
      <w:proofErr w:type="spellEnd"/>
      <w:r w:rsidRPr="0029478F">
        <w:rPr>
          <w:rFonts w:ascii="Arial" w:hAnsi="Arial" w:cs="Arial"/>
        </w:rPr>
        <w:t>: Annual report of the Independent Monitoring Mechanism of the Convention on the Rights of Persons with Disabiliti</w:t>
      </w:r>
      <w:r>
        <w:rPr>
          <w:rFonts w:ascii="Arial" w:hAnsi="Arial" w:cs="Arial"/>
        </w:rPr>
        <w:t xml:space="preserve">es.” 1 July 2011 - 30 June 2012. </w:t>
      </w:r>
      <w:proofErr w:type="gramStart"/>
      <w:r>
        <w:rPr>
          <w:rFonts w:ascii="Arial" w:hAnsi="Arial" w:cs="Arial"/>
        </w:rPr>
        <w:t>P 64.</w:t>
      </w:r>
      <w:proofErr w:type="gramEnd"/>
    </w:p>
  </w:endnote>
  <w:endnote w:id="11">
    <w:p w:rsidR="00AE6F23" w:rsidRDefault="00AE6F23" w:rsidP="00FF31FD">
      <w:pPr>
        <w:pStyle w:val="EndnoteText"/>
        <w:spacing w:before="120" w:after="120"/>
        <w:ind w:left="284" w:hanging="142"/>
        <w:jc w:val="both"/>
      </w:pPr>
      <w:r>
        <w:rPr>
          <w:rStyle w:val="EndnoteReference"/>
        </w:rPr>
        <w:endnoteRef/>
      </w:r>
      <w:r>
        <w:t xml:space="preserve"> </w:t>
      </w:r>
      <w:proofErr w:type="gramStart"/>
      <w:r w:rsidRPr="0029478F">
        <w:rPr>
          <w:rFonts w:ascii="Arial" w:hAnsi="Arial" w:cs="Arial"/>
        </w:rPr>
        <w:t>New Zealand Human Rights Commission</w:t>
      </w:r>
      <w:r>
        <w:rPr>
          <w:rFonts w:ascii="Arial" w:hAnsi="Arial" w:cs="Arial"/>
        </w:rPr>
        <w:t>.</w:t>
      </w:r>
      <w:proofErr w:type="gramEnd"/>
      <w:r w:rsidRPr="0029478F">
        <w:rPr>
          <w:rFonts w:ascii="Arial" w:hAnsi="Arial" w:cs="Arial"/>
        </w:rPr>
        <w:t xml:space="preserve"> (2012)</w:t>
      </w:r>
      <w:r>
        <w:rPr>
          <w:rFonts w:ascii="Arial" w:hAnsi="Arial" w:cs="Arial"/>
        </w:rPr>
        <w:t>.</w:t>
      </w:r>
      <w:r w:rsidRPr="0029478F">
        <w:rPr>
          <w:rFonts w:ascii="Arial" w:hAnsi="Arial" w:cs="Arial"/>
        </w:rPr>
        <w:t xml:space="preserve"> “Making Disability Rights Real – </w:t>
      </w:r>
      <w:proofErr w:type="spellStart"/>
      <w:r w:rsidRPr="0029478F">
        <w:rPr>
          <w:rFonts w:ascii="Arial" w:hAnsi="Arial" w:cs="Arial"/>
        </w:rPr>
        <w:t>Whakatūturu</w:t>
      </w:r>
      <w:proofErr w:type="spellEnd"/>
      <w:r w:rsidRPr="0029478F">
        <w:rPr>
          <w:rFonts w:ascii="Arial" w:hAnsi="Arial" w:cs="Arial"/>
        </w:rPr>
        <w:t xml:space="preserve"> </w:t>
      </w:r>
      <w:proofErr w:type="spellStart"/>
      <w:r w:rsidRPr="0029478F">
        <w:rPr>
          <w:rFonts w:ascii="Arial" w:hAnsi="Arial" w:cs="Arial"/>
        </w:rPr>
        <w:t>ngā</w:t>
      </w:r>
      <w:proofErr w:type="spellEnd"/>
      <w:r w:rsidRPr="0029478F">
        <w:rPr>
          <w:rFonts w:ascii="Arial" w:hAnsi="Arial" w:cs="Arial"/>
        </w:rPr>
        <w:t xml:space="preserve"> </w:t>
      </w:r>
      <w:proofErr w:type="spellStart"/>
      <w:r w:rsidRPr="0029478F">
        <w:rPr>
          <w:rFonts w:ascii="Arial" w:hAnsi="Arial" w:cs="Arial"/>
        </w:rPr>
        <w:t>Tika</w:t>
      </w:r>
      <w:proofErr w:type="spellEnd"/>
      <w:r w:rsidRPr="0029478F">
        <w:rPr>
          <w:rFonts w:ascii="Arial" w:hAnsi="Arial" w:cs="Arial"/>
        </w:rPr>
        <w:t xml:space="preserve"> </w:t>
      </w:r>
      <w:proofErr w:type="spellStart"/>
      <w:r w:rsidRPr="0029478F">
        <w:rPr>
          <w:rFonts w:ascii="Arial" w:hAnsi="Arial" w:cs="Arial"/>
        </w:rPr>
        <w:t>Hauātanga</w:t>
      </w:r>
      <w:proofErr w:type="spellEnd"/>
      <w:r w:rsidRPr="0029478F">
        <w:rPr>
          <w:rFonts w:ascii="Arial" w:hAnsi="Arial" w:cs="Arial"/>
        </w:rPr>
        <w:t>: Annual report of the Independent Monitoring Mechanism of the Convention on the Rights of Persons with Disabiliti</w:t>
      </w:r>
      <w:r>
        <w:rPr>
          <w:rFonts w:ascii="Arial" w:hAnsi="Arial" w:cs="Arial"/>
        </w:rPr>
        <w:t>es.” 1 July 2011 - 30 June 2012. P 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138615"/>
      <w:docPartObj>
        <w:docPartGallery w:val="Page Numbers (Bottom of Page)"/>
        <w:docPartUnique/>
      </w:docPartObj>
    </w:sdtPr>
    <w:sdtEndPr>
      <w:rPr>
        <w:noProof/>
      </w:rPr>
    </w:sdtEndPr>
    <w:sdtContent>
      <w:p w:rsidR="00AE6F23" w:rsidRDefault="00B95768">
        <w:pPr>
          <w:pStyle w:val="Footer"/>
          <w:jc w:val="center"/>
        </w:pPr>
        <w:r>
          <w:fldChar w:fldCharType="begin"/>
        </w:r>
        <w:r>
          <w:instrText xml:space="preserve"> PAGE   \* MERGEFORMAT </w:instrText>
        </w:r>
        <w:r>
          <w:fldChar w:fldCharType="separate"/>
        </w:r>
        <w:r w:rsidR="002B0996">
          <w:rPr>
            <w:noProof/>
          </w:rPr>
          <w:t>1</w:t>
        </w:r>
        <w:r>
          <w:rPr>
            <w:noProof/>
          </w:rPr>
          <w:fldChar w:fldCharType="end"/>
        </w:r>
      </w:p>
    </w:sdtContent>
  </w:sdt>
  <w:p w:rsidR="00AE6F23" w:rsidRDefault="00AE6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85" w:rsidRDefault="00AF4E85" w:rsidP="00C01F9F">
      <w:pPr>
        <w:spacing w:after="0" w:line="240" w:lineRule="auto"/>
      </w:pPr>
      <w:r>
        <w:separator/>
      </w:r>
    </w:p>
  </w:footnote>
  <w:footnote w:type="continuationSeparator" w:id="0">
    <w:p w:rsidR="00AF4E85" w:rsidRDefault="00AF4E85" w:rsidP="00C01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31FA"/>
    <w:multiLevelType w:val="hybridMultilevel"/>
    <w:tmpl w:val="FBBCF1F8"/>
    <w:lvl w:ilvl="0" w:tplc="B01EDE64">
      <w:start w:val="1"/>
      <w:numFmt w:val="decimal"/>
      <w:lvlText w:val="%1"/>
      <w:lvlJc w:val="left"/>
      <w:pPr>
        <w:ind w:left="1004" w:hanging="360"/>
      </w:pPr>
      <w:rPr>
        <w:rFonts w:ascii="Arial" w:hAnsi="Arial" w:hint="default"/>
        <w:b w:val="0"/>
        <w:i w:val="0"/>
        <w:sz w:val="24"/>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nsid w:val="0D104F42"/>
    <w:multiLevelType w:val="hybridMultilevel"/>
    <w:tmpl w:val="071AD4FC"/>
    <w:lvl w:ilvl="0" w:tplc="B01EDE64">
      <w:start w:val="1"/>
      <w:numFmt w:val="decimal"/>
      <w:lvlText w:val="%1"/>
      <w:lvlJc w:val="left"/>
      <w:pPr>
        <w:ind w:left="1004" w:hanging="360"/>
      </w:pPr>
      <w:rPr>
        <w:rFonts w:ascii="Arial" w:hAnsi="Arial" w:hint="default"/>
        <w:b w:val="0"/>
        <w:i w:val="0"/>
        <w:sz w:val="24"/>
      </w:rPr>
    </w:lvl>
    <w:lvl w:ilvl="1" w:tplc="136210E2">
      <w:start w:val="1"/>
      <w:numFmt w:val="decimal"/>
      <w:lvlText w:val="%2)"/>
      <w:lvlJc w:val="left"/>
      <w:pPr>
        <w:ind w:left="1724" w:hanging="360"/>
      </w:pPr>
      <w:rPr>
        <w:rFonts w:hint="default"/>
      </w:r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
    <w:nsid w:val="56E26615"/>
    <w:multiLevelType w:val="hybridMultilevel"/>
    <w:tmpl w:val="071AD4FC"/>
    <w:lvl w:ilvl="0" w:tplc="B01EDE64">
      <w:start w:val="1"/>
      <w:numFmt w:val="decimal"/>
      <w:lvlText w:val="%1"/>
      <w:lvlJc w:val="left"/>
      <w:pPr>
        <w:ind w:left="1004" w:hanging="360"/>
      </w:pPr>
      <w:rPr>
        <w:rFonts w:ascii="Arial" w:hAnsi="Arial" w:hint="default"/>
        <w:b w:val="0"/>
        <w:i w:val="0"/>
        <w:sz w:val="24"/>
      </w:rPr>
    </w:lvl>
    <w:lvl w:ilvl="1" w:tplc="136210E2">
      <w:start w:val="1"/>
      <w:numFmt w:val="decimal"/>
      <w:lvlText w:val="%2)"/>
      <w:lvlJc w:val="left"/>
      <w:pPr>
        <w:ind w:left="1724" w:hanging="360"/>
      </w:pPr>
      <w:rPr>
        <w:rFonts w:hint="default"/>
      </w:r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
    <w:nsid w:val="71D017D0"/>
    <w:multiLevelType w:val="hybridMultilevel"/>
    <w:tmpl w:val="90BE661C"/>
    <w:lvl w:ilvl="0" w:tplc="1ED05CCE">
      <w:start w:val="1"/>
      <w:numFmt w:val="lowerLetter"/>
      <w:lvlText w:val="%1"/>
      <w:lvlJc w:val="left"/>
      <w:pPr>
        <w:ind w:left="1004" w:hanging="360"/>
      </w:pPr>
      <w:rPr>
        <w:rFonts w:ascii="Arial" w:hAnsi="Arial" w:hint="default"/>
        <w:b w:val="0"/>
        <w:i w:val="0"/>
        <w:sz w:val="24"/>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
    <w:nsid w:val="7E4750FE"/>
    <w:multiLevelType w:val="multilevel"/>
    <w:tmpl w:val="ECA4D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9F"/>
    <w:rsid w:val="00001168"/>
    <w:rsid w:val="000232F9"/>
    <w:rsid w:val="000B302C"/>
    <w:rsid w:val="000F2F7E"/>
    <w:rsid w:val="00117C5C"/>
    <w:rsid w:val="00154900"/>
    <w:rsid w:val="001F4645"/>
    <w:rsid w:val="00201E43"/>
    <w:rsid w:val="00221D21"/>
    <w:rsid w:val="00236FB7"/>
    <w:rsid w:val="00282C25"/>
    <w:rsid w:val="00295ED3"/>
    <w:rsid w:val="002B0996"/>
    <w:rsid w:val="002C5DD6"/>
    <w:rsid w:val="003D138F"/>
    <w:rsid w:val="00415BF2"/>
    <w:rsid w:val="004379F1"/>
    <w:rsid w:val="004B1776"/>
    <w:rsid w:val="004F1078"/>
    <w:rsid w:val="004F28D1"/>
    <w:rsid w:val="005247CD"/>
    <w:rsid w:val="005A7F38"/>
    <w:rsid w:val="006E6C7C"/>
    <w:rsid w:val="007A183E"/>
    <w:rsid w:val="007A2FCC"/>
    <w:rsid w:val="007B3496"/>
    <w:rsid w:val="008A2826"/>
    <w:rsid w:val="008C533D"/>
    <w:rsid w:val="00964E53"/>
    <w:rsid w:val="009C159B"/>
    <w:rsid w:val="00A7530E"/>
    <w:rsid w:val="00A8203D"/>
    <w:rsid w:val="00AB1329"/>
    <w:rsid w:val="00AE443B"/>
    <w:rsid w:val="00AE6F23"/>
    <w:rsid w:val="00AF4E85"/>
    <w:rsid w:val="00B95768"/>
    <w:rsid w:val="00C01F9F"/>
    <w:rsid w:val="00C142E1"/>
    <w:rsid w:val="00C16C7D"/>
    <w:rsid w:val="00C66E01"/>
    <w:rsid w:val="00C97D70"/>
    <w:rsid w:val="00CB5DF0"/>
    <w:rsid w:val="00CD0AFC"/>
    <w:rsid w:val="00D23D7E"/>
    <w:rsid w:val="00D44AD2"/>
    <w:rsid w:val="00D706CD"/>
    <w:rsid w:val="00D86E1C"/>
    <w:rsid w:val="00D875A9"/>
    <w:rsid w:val="00DA0833"/>
    <w:rsid w:val="00DF0589"/>
    <w:rsid w:val="00E163D6"/>
    <w:rsid w:val="00EB7A29"/>
    <w:rsid w:val="00EC3738"/>
    <w:rsid w:val="00F47B74"/>
    <w:rsid w:val="00F6782E"/>
    <w:rsid w:val="00F70084"/>
    <w:rsid w:val="00F86454"/>
    <w:rsid w:val="00FE278A"/>
    <w:rsid w:val="00FF3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29"/>
  </w:style>
  <w:style w:type="paragraph" w:styleId="Heading1">
    <w:name w:val="heading 1"/>
    <w:basedOn w:val="Normal"/>
    <w:link w:val="Heading1Char"/>
    <w:uiPriority w:val="9"/>
    <w:qFormat/>
    <w:rsid w:val="00C01F9F"/>
    <w:pPr>
      <w:spacing w:before="600" w:after="240" w:line="240" w:lineRule="auto"/>
      <w:outlineLvl w:val="0"/>
    </w:pPr>
    <w:rPr>
      <w:rFonts w:ascii="Arial Rounded MT Bold" w:hAnsi="Arial Rounded MT Bold"/>
      <w:b/>
      <w:bCs/>
      <w:color w:val="2F5496" w:themeColor="accent5" w:themeShade="BF"/>
      <w:kern w:val="36"/>
      <w:sz w:val="40"/>
      <w:szCs w:val="48"/>
      <w:lang w:val="en-AU"/>
    </w:rPr>
  </w:style>
  <w:style w:type="paragraph" w:styleId="Heading2">
    <w:name w:val="heading 2"/>
    <w:basedOn w:val="Normal"/>
    <w:next w:val="Normal"/>
    <w:link w:val="Heading2Char"/>
    <w:uiPriority w:val="9"/>
    <w:unhideWhenUsed/>
    <w:qFormat/>
    <w:rsid w:val="00C01F9F"/>
    <w:pPr>
      <w:keepNext/>
      <w:keepLines/>
      <w:spacing w:before="240" w:after="120" w:line="276" w:lineRule="auto"/>
      <w:ind w:left="357" w:hanging="357"/>
      <w:outlineLvl w:val="1"/>
    </w:pPr>
    <w:rPr>
      <w:rFonts w:ascii="Arial Rounded MT Bold" w:eastAsiaTheme="majorEastAsia" w:hAnsi="Arial Rounded MT Bold" w:cstheme="majorBidi"/>
      <w:color w:val="2F5496" w:themeColor="accent5" w:themeShade="BF"/>
      <w:sz w:val="28"/>
      <w:szCs w:val="26"/>
    </w:rPr>
  </w:style>
  <w:style w:type="paragraph" w:styleId="Heading3">
    <w:name w:val="heading 3"/>
    <w:basedOn w:val="Normal"/>
    <w:next w:val="Normal"/>
    <w:link w:val="Heading3Char"/>
    <w:uiPriority w:val="9"/>
    <w:unhideWhenUsed/>
    <w:qFormat/>
    <w:rsid w:val="00C01F9F"/>
    <w:pPr>
      <w:keepNext/>
      <w:keepLines/>
      <w:pBdr>
        <w:bottom w:val="single" w:sz="6" w:space="1" w:color="auto"/>
      </w:pBdr>
      <w:spacing w:before="360" w:after="120" w:line="276" w:lineRule="auto"/>
      <w:ind w:left="357" w:hanging="357"/>
      <w:outlineLvl w:val="2"/>
    </w:pPr>
    <w:rPr>
      <w:rFonts w:ascii="Arial Rounded MT Bold" w:eastAsiaTheme="majorEastAsia" w:hAnsi="Arial Rounded MT Bold" w:cstheme="majorBidi"/>
      <w:color w:val="2F5496" w:themeColor="accent5" w:themeShade="BF"/>
      <w:sz w:val="30"/>
      <w:szCs w:val="24"/>
      <w:u w:color="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F9F"/>
    <w:rPr>
      <w:rFonts w:ascii="Arial Rounded MT Bold" w:hAnsi="Arial Rounded MT Bold"/>
      <w:b/>
      <w:bCs/>
      <w:color w:val="2F5496" w:themeColor="accent5" w:themeShade="BF"/>
      <w:kern w:val="36"/>
      <w:sz w:val="40"/>
      <w:szCs w:val="48"/>
      <w:lang w:val="en-AU"/>
    </w:rPr>
  </w:style>
  <w:style w:type="character" w:customStyle="1" w:styleId="Heading2Char">
    <w:name w:val="Heading 2 Char"/>
    <w:basedOn w:val="DefaultParagraphFont"/>
    <w:link w:val="Heading2"/>
    <w:uiPriority w:val="9"/>
    <w:rsid w:val="00C01F9F"/>
    <w:rPr>
      <w:rFonts w:ascii="Arial Rounded MT Bold" w:eastAsiaTheme="majorEastAsia" w:hAnsi="Arial Rounded MT Bold" w:cstheme="majorBidi"/>
      <w:color w:val="2F5496" w:themeColor="accent5" w:themeShade="BF"/>
      <w:sz w:val="28"/>
      <w:szCs w:val="26"/>
    </w:rPr>
  </w:style>
  <w:style w:type="character" w:customStyle="1" w:styleId="Heading3Char">
    <w:name w:val="Heading 3 Char"/>
    <w:basedOn w:val="DefaultParagraphFont"/>
    <w:link w:val="Heading3"/>
    <w:uiPriority w:val="9"/>
    <w:rsid w:val="00C01F9F"/>
    <w:rPr>
      <w:rFonts w:ascii="Arial Rounded MT Bold" w:eastAsiaTheme="majorEastAsia" w:hAnsi="Arial Rounded MT Bold" w:cstheme="majorBidi"/>
      <w:color w:val="2F5496" w:themeColor="accent5" w:themeShade="BF"/>
      <w:sz w:val="30"/>
      <w:szCs w:val="24"/>
      <w:u w:color="2F5496" w:themeColor="accent5" w:themeShade="BF"/>
    </w:rPr>
  </w:style>
  <w:style w:type="paragraph" w:styleId="EndnoteText">
    <w:name w:val="endnote text"/>
    <w:basedOn w:val="Normal"/>
    <w:link w:val="EndnoteTextChar"/>
    <w:uiPriority w:val="99"/>
    <w:unhideWhenUsed/>
    <w:rsid w:val="00C01F9F"/>
    <w:pPr>
      <w:spacing w:after="0" w:line="240" w:lineRule="auto"/>
      <w:ind w:left="714" w:hanging="357"/>
    </w:pPr>
    <w:rPr>
      <w:sz w:val="20"/>
      <w:szCs w:val="20"/>
    </w:rPr>
  </w:style>
  <w:style w:type="character" w:customStyle="1" w:styleId="EndnoteTextChar">
    <w:name w:val="Endnote Text Char"/>
    <w:basedOn w:val="DefaultParagraphFont"/>
    <w:link w:val="EndnoteText"/>
    <w:uiPriority w:val="99"/>
    <w:rsid w:val="00C01F9F"/>
    <w:rPr>
      <w:sz w:val="20"/>
      <w:szCs w:val="20"/>
    </w:rPr>
  </w:style>
  <w:style w:type="character" w:styleId="EndnoteReference">
    <w:name w:val="endnote reference"/>
    <w:basedOn w:val="DefaultParagraphFont"/>
    <w:uiPriority w:val="99"/>
    <w:unhideWhenUsed/>
    <w:rsid w:val="00C01F9F"/>
    <w:rPr>
      <w:vertAlign w:val="superscript"/>
    </w:rPr>
  </w:style>
  <w:style w:type="paragraph" w:styleId="ListParagraph">
    <w:name w:val="List Paragraph"/>
    <w:basedOn w:val="Normal"/>
    <w:uiPriority w:val="34"/>
    <w:qFormat/>
    <w:rsid w:val="00C01F9F"/>
    <w:pPr>
      <w:spacing w:before="120" w:after="120" w:line="276" w:lineRule="auto"/>
      <w:ind w:left="720" w:hanging="357"/>
      <w:contextualSpacing/>
    </w:pPr>
  </w:style>
  <w:style w:type="character" w:styleId="Hyperlink">
    <w:name w:val="Hyperlink"/>
    <w:basedOn w:val="DefaultParagraphFont"/>
    <w:uiPriority w:val="99"/>
    <w:unhideWhenUsed/>
    <w:rsid w:val="00C01F9F"/>
    <w:rPr>
      <w:color w:val="0563C1" w:themeColor="hyperlink"/>
      <w:u w:val="single"/>
    </w:rPr>
  </w:style>
  <w:style w:type="character" w:styleId="Strong">
    <w:name w:val="Strong"/>
    <w:qFormat/>
    <w:rsid w:val="00DF0589"/>
    <w:rPr>
      <w:rFonts w:ascii="Times New Roman" w:hAnsi="Times New Roman" w:cs="Times New Roman"/>
      <w:b/>
      <w:bCs/>
    </w:rPr>
  </w:style>
  <w:style w:type="paragraph" w:styleId="Header">
    <w:name w:val="header"/>
    <w:basedOn w:val="Normal"/>
    <w:link w:val="HeaderChar"/>
    <w:uiPriority w:val="99"/>
    <w:unhideWhenUsed/>
    <w:rsid w:val="00D23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D7E"/>
  </w:style>
  <w:style w:type="paragraph" w:styleId="Footer">
    <w:name w:val="footer"/>
    <w:basedOn w:val="Normal"/>
    <w:link w:val="FooterChar"/>
    <w:uiPriority w:val="99"/>
    <w:unhideWhenUsed/>
    <w:rsid w:val="00D23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D7E"/>
  </w:style>
  <w:style w:type="character" w:styleId="FollowedHyperlink">
    <w:name w:val="FollowedHyperlink"/>
    <w:rsid w:val="00D23D7E"/>
    <w:rPr>
      <w:color w:val="800080"/>
      <w:u w:val="single"/>
    </w:rPr>
  </w:style>
  <w:style w:type="paragraph" w:styleId="BalloonText">
    <w:name w:val="Balloon Text"/>
    <w:basedOn w:val="Normal"/>
    <w:link w:val="BalloonTextChar"/>
    <w:uiPriority w:val="99"/>
    <w:semiHidden/>
    <w:unhideWhenUsed/>
    <w:rsid w:val="00221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21"/>
    <w:rPr>
      <w:rFonts w:ascii="Segoe UI" w:hAnsi="Segoe UI" w:cs="Segoe UI"/>
      <w:sz w:val="18"/>
      <w:szCs w:val="18"/>
    </w:rPr>
  </w:style>
  <w:style w:type="paragraph" w:styleId="FootnoteText">
    <w:name w:val="footnote text"/>
    <w:basedOn w:val="Normal"/>
    <w:link w:val="FootnoteTextChar"/>
    <w:uiPriority w:val="99"/>
    <w:semiHidden/>
    <w:unhideWhenUsed/>
    <w:rsid w:val="00CB5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DF0"/>
    <w:rPr>
      <w:sz w:val="20"/>
      <w:szCs w:val="20"/>
    </w:rPr>
  </w:style>
  <w:style w:type="character" w:styleId="FootnoteReference">
    <w:name w:val="footnote reference"/>
    <w:basedOn w:val="DefaultParagraphFont"/>
    <w:uiPriority w:val="99"/>
    <w:semiHidden/>
    <w:unhideWhenUsed/>
    <w:rsid w:val="00CB5DF0"/>
    <w:rPr>
      <w:vertAlign w:val="superscript"/>
    </w:rPr>
  </w:style>
  <w:style w:type="paragraph" w:styleId="PlainText">
    <w:name w:val="Plain Text"/>
    <w:basedOn w:val="Normal"/>
    <w:link w:val="PlainTextChar"/>
    <w:uiPriority w:val="99"/>
    <w:semiHidden/>
    <w:unhideWhenUsed/>
    <w:rsid w:val="00201E4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01E4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29"/>
  </w:style>
  <w:style w:type="paragraph" w:styleId="Heading1">
    <w:name w:val="heading 1"/>
    <w:basedOn w:val="Normal"/>
    <w:link w:val="Heading1Char"/>
    <w:uiPriority w:val="9"/>
    <w:qFormat/>
    <w:rsid w:val="00C01F9F"/>
    <w:pPr>
      <w:spacing w:before="600" w:after="240" w:line="240" w:lineRule="auto"/>
      <w:outlineLvl w:val="0"/>
    </w:pPr>
    <w:rPr>
      <w:rFonts w:ascii="Arial Rounded MT Bold" w:hAnsi="Arial Rounded MT Bold"/>
      <w:b/>
      <w:bCs/>
      <w:color w:val="2F5496" w:themeColor="accent5" w:themeShade="BF"/>
      <w:kern w:val="36"/>
      <w:sz w:val="40"/>
      <w:szCs w:val="48"/>
      <w:lang w:val="en-AU"/>
    </w:rPr>
  </w:style>
  <w:style w:type="paragraph" w:styleId="Heading2">
    <w:name w:val="heading 2"/>
    <w:basedOn w:val="Normal"/>
    <w:next w:val="Normal"/>
    <w:link w:val="Heading2Char"/>
    <w:uiPriority w:val="9"/>
    <w:unhideWhenUsed/>
    <w:qFormat/>
    <w:rsid w:val="00C01F9F"/>
    <w:pPr>
      <w:keepNext/>
      <w:keepLines/>
      <w:spacing w:before="240" w:after="120" w:line="276" w:lineRule="auto"/>
      <w:ind w:left="357" w:hanging="357"/>
      <w:outlineLvl w:val="1"/>
    </w:pPr>
    <w:rPr>
      <w:rFonts w:ascii="Arial Rounded MT Bold" w:eastAsiaTheme="majorEastAsia" w:hAnsi="Arial Rounded MT Bold" w:cstheme="majorBidi"/>
      <w:color w:val="2F5496" w:themeColor="accent5" w:themeShade="BF"/>
      <w:sz w:val="28"/>
      <w:szCs w:val="26"/>
    </w:rPr>
  </w:style>
  <w:style w:type="paragraph" w:styleId="Heading3">
    <w:name w:val="heading 3"/>
    <w:basedOn w:val="Normal"/>
    <w:next w:val="Normal"/>
    <w:link w:val="Heading3Char"/>
    <w:uiPriority w:val="9"/>
    <w:unhideWhenUsed/>
    <w:qFormat/>
    <w:rsid w:val="00C01F9F"/>
    <w:pPr>
      <w:keepNext/>
      <w:keepLines/>
      <w:pBdr>
        <w:bottom w:val="single" w:sz="6" w:space="1" w:color="auto"/>
      </w:pBdr>
      <w:spacing w:before="360" w:after="120" w:line="276" w:lineRule="auto"/>
      <w:ind w:left="357" w:hanging="357"/>
      <w:outlineLvl w:val="2"/>
    </w:pPr>
    <w:rPr>
      <w:rFonts w:ascii="Arial Rounded MT Bold" w:eastAsiaTheme="majorEastAsia" w:hAnsi="Arial Rounded MT Bold" w:cstheme="majorBidi"/>
      <w:color w:val="2F5496" w:themeColor="accent5" w:themeShade="BF"/>
      <w:sz w:val="30"/>
      <w:szCs w:val="24"/>
      <w:u w:color="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F9F"/>
    <w:rPr>
      <w:rFonts w:ascii="Arial Rounded MT Bold" w:hAnsi="Arial Rounded MT Bold"/>
      <w:b/>
      <w:bCs/>
      <w:color w:val="2F5496" w:themeColor="accent5" w:themeShade="BF"/>
      <w:kern w:val="36"/>
      <w:sz w:val="40"/>
      <w:szCs w:val="48"/>
      <w:lang w:val="en-AU"/>
    </w:rPr>
  </w:style>
  <w:style w:type="character" w:customStyle="1" w:styleId="Heading2Char">
    <w:name w:val="Heading 2 Char"/>
    <w:basedOn w:val="DefaultParagraphFont"/>
    <w:link w:val="Heading2"/>
    <w:uiPriority w:val="9"/>
    <w:rsid w:val="00C01F9F"/>
    <w:rPr>
      <w:rFonts w:ascii="Arial Rounded MT Bold" w:eastAsiaTheme="majorEastAsia" w:hAnsi="Arial Rounded MT Bold" w:cstheme="majorBidi"/>
      <w:color w:val="2F5496" w:themeColor="accent5" w:themeShade="BF"/>
      <w:sz w:val="28"/>
      <w:szCs w:val="26"/>
    </w:rPr>
  </w:style>
  <w:style w:type="character" w:customStyle="1" w:styleId="Heading3Char">
    <w:name w:val="Heading 3 Char"/>
    <w:basedOn w:val="DefaultParagraphFont"/>
    <w:link w:val="Heading3"/>
    <w:uiPriority w:val="9"/>
    <w:rsid w:val="00C01F9F"/>
    <w:rPr>
      <w:rFonts w:ascii="Arial Rounded MT Bold" w:eastAsiaTheme="majorEastAsia" w:hAnsi="Arial Rounded MT Bold" w:cstheme="majorBidi"/>
      <w:color w:val="2F5496" w:themeColor="accent5" w:themeShade="BF"/>
      <w:sz w:val="30"/>
      <w:szCs w:val="24"/>
      <w:u w:color="2F5496" w:themeColor="accent5" w:themeShade="BF"/>
    </w:rPr>
  </w:style>
  <w:style w:type="paragraph" w:styleId="EndnoteText">
    <w:name w:val="endnote text"/>
    <w:basedOn w:val="Normal"/>
    <w:link w:val="EndnoteTextChar"/>
    <w:uiPriority w:val="99"/>
    <w:unhideWhenUsed/>
    <w:rsid w:val="00C01F9F"/>
    <w:pPr>
      <w:spacing w:after="0" w:line="240" w:lineRule="auto"/>
      <w:ind w:left="714" w:hanging="357"/>
    </w:pPr>
    <w:rPr>
      <w:sz w:val="20"/>
      <w:szCs w:val="20"/>
    </w:rPr>
  </w:style>
  <w:style w:type="character" w:customStyle="1" w:styleId="EndnoteTextChar">
    <w:name w:val="Endnote Text Char"/>
    <w:basedOn w:val="DefaultParagraphFont"/>
    <w:link w:val="EndnoteText"/>
    <w:uiPriority w:val="99"/>
    <w:rsid w:val="00C01F9F"/>
    <w:rPr>
      <w:sz w:val="20"/>
      <w:szCs w:val="20"/>
    </w:rPr>
  </w:style>
  <w:style w:type="character" w:styleId="EndnoteReference">
    <w:name w:val="endnote reference"/>
    <w:basedOn w:val="DefaultParagraphFont"/>
    <w:uiPriority w:val="99"/>
    <w:unhideWhenUsed/>
    <w:rsid w:val="00C01F9F"/>
    <w:rPr>
      <w:vertAlign w:val="superscript"/>
    </w:rPr>
  </w:style>
  <w:style w:type="paragraph" w:styleId="ListParagraph">
    <w:name w:val="List Paragraph"/>
    <w:basedOn w:val="Normal"/>
    <w:uiPriority w:val="34"/>
    <w:qFormat/>
    <w:rsid w:val="00C01F9F"/>
    <w:pPr>
      <w:spacing w:before="120" w:after="120" w:line="276" w:lineRule="auto"/>
      <w:ind w:left="720" w:hanging="357"/>
      <w:contextualSpacing/>
    </w:pPr>
  </w:style>
  <w:style w:type="character" w:styleId="Hyperlink">
    <w:name w:val="Hyperlink"/>
    <w:basedOn w:val="DefaultParagraphFont"/>
    <w:uiPriority w:val="99"/>
    <w:unhideWhenUsed/>
    <w:rsid w:val="00C01F9F"/>
    <w:rPr>
      <w:color w:val="0563C1" w:themeColor="hyperlink"/>
      <w:u w:val="single"/>
    </w:rPr>
  </w:style>
  <w:style w:type="character" w:styleId="Strong">
    <w:name w:val="Strong"/>
    <w:qFormat/>
    <w:rsid w:val="00DF0589"/>
    <w:rPr>
      <w:rFonts w:ascii="Times New Roman" w:hAnsi="Times New Roman" w:cs="Times New Roman"/>
      <w:b/>
      <w:bCs/>
    </w:rPr>
  </w:style>
  <w:style w:type="paragraph" w:styleId="Header">
    <w:name w:val="header"/>
    <w:basedOn w:val="Normal"/>
    <w:link w:val="HeaderChar"/>
    <w:uiPriority w:val="99"/>
    <w:unhideWhenUsed/>
    <w:rsid w:val="00D23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D7E"/>
  </w:style>
  <w:style w:type="paragraph" w:styleId="Footer">
    <w:name w:val="footer"/>
    <w:basedOn w:val="Normal"/>
    <w:link w:val="FooterChar"/>
    <w:uiPriority w:val="99"/>
    <w:unhideWhenUsed/>
    <w:rsid w:val="00D23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D7E"/>
  </w:style>
  <w:style w:type="character" w:styleId="FollowedHyperlink">
    <w:name w:val="FollowedHyperlink"/>
    <w:rsid w:val="00D23D7E"/>
    <w:rPr>
      <w:color w:val="800080"/>
      <w:u w:val="single"/>
    </w:rPr>
  </w:style>
  <w:style w:type="paragraph" w:styleId="BalloonText">
    <w:name w:val="Balloon Text"/>
    <w:basedOn w:val="Normal"/>
    <w:link w:val="BalloonTextChar"/>
    <w:uiPriority w:val="99"/>
    <w:semiHidden/>
    <w:unhideWhenUsed/>
    <w:rsid w:val="00221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21"/>
    <w:rPr>
      <w:rFonts w:ascii="Segoe UI" w:hAnsi="Segoe UI" w:cs="Segoe UI"/>
      <w:sz w:val="18"/>
      <w:szCs w:val="18"/>
    </w:rPr>
  </w:style>
  <w:style w:type="paragraph" w:styleId="FootnoteText">
    <w:name w:val="footnote text"/>
    <w:basedOn w:val="Normal"/>
    <w:link w:val="FootnoteTextChar"/>
    <w:uiPriority w:val="99"/>
    <w:semiHidden/>
    <w:unhideWhenUsed/>
    <w:rsid w:val="00CB5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DF0"/>
    <w:rPr>
      <w:sz w:val="20"/>
      <w:szCs w:val="20"/>
    </w:rPr>
  </w:style>
  <w:style w:type="character" w:styleId="FootnoteReference">
    <w:name w:val="footnote reference"/>
    <w:basedOn w:val="DefaultParagraphFont"/>
    <w:uiPriority w:val="99"/>
    <w:semiHidden/>
    <w:unhideWhenUsed/>
    <w:rsid w:val="00CB5DF0"/>
    <w:rPr>
      <w:vertAlign w:val="superscript"/>
    </w:rPr>
  </w:style>
  <w:style w:type="paragraph" w:styleId="PlainText">
    <w:name w:val="Plain Text"/>
    <w:basedOn w:val="Normal"/>
    <w:link w:val="PlainTextChar"/>
    <w:uiPriority w:val="99"/>
    <w:semiHidden/>
    <w:unhideWhenUsed/>
    <w:rsid w:val="00201E4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01E4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79762">
      <w:bodyDiv w:val="1"/>
      <w:marLeft w:val="0"/>
      <w:marRight w:val="0"/>
      <w:marTop w:val="0"/>
      <w:marBottom w:val="0"/>
      <w:divBdr>
        <w:top w:val="none" w:sz="0" w:space="0" w:color="auto"/>
        <w:left w:val="none" w:sz="0" w:space="0" w:color="auto"/>
        <w:bottom w:val="none" w:sz="0" w:space="0" w:color="auto"/>
        <w:right w:val="none" w:sz="0" w:space="0" w:color="auto"/>
      </w:divBdr>
    </w:div>
    <w:div w:id="19387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www.ihc.org.nz/campaigns/education/educ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Mac11</b:Tag>
    <b:SourceType>Report</b:SourceType>
    <b:Guid>{3FF71D65-3A1E-452F-A3B0-71FDDA754A5F}</b:Guid>
    <b:Title>Families Choices: Choosing Schools for Disabled Children</b:Title>
    <b:Year>2011</b:Year>
    <b:Publisher>CCS Disability Action</b:Publisher>
    <b:Author>
      <b:Author>
        <b:NameList>
          <b:Person>
            <b:Last>MacDonald</b:Last>
            <b:First>Carol</b:First>
          </b:Person>
          <b:Person>
            <b:Last>Gray</b:Last>
            <b:First>Lesley</b:First>
          </b:Person>
        </b:NameList>
      </b:Author>
    </b:Author>
    <b:RefOrder>9</b:RefOrder>
  </b:Source>
</b:Sources>
</file>

<file path=customXml/itemProps1.xml><?xml version="1.0" encoding="utf-8"?>
<ds:datastoreItem xmlns:ds="http://schemas.openxmlformats.org/officeDocument/2006/customXml" ds:itemID="{C69AB9CF-6E91-4BFD-AC79-D60E0095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Manning</dc:creator>
  <cp:lastModifiedBy>Sally Champion</cp:lastModifiedBy>
  <cp:revision>2</cp:revision>
  <cp:lastPrinted>2015-03-20T00:13:00Z</cp:lastPrinted>
  <dcterms:created xsi:type="dcterms:W3CDTF">2015-07-06T02:34:00Z</dcterms:created>
  <dcterms:modified xsi:type="dcterms:W3CDTF">2015-07-06T02:34:00Z</dcterms:modified>
</cp:coreProperties>
</file>